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Administration</w:t>
      </w:r>
      <w:r w:rsidDel="00000000" w:rsidR="00000000" w:rsidRPr="00000000">
        <w:rPr>
          <w:rtl w:val="0"/>
        </w:rPr>
        <w:t xml:space="preserve"> of Medication </w:t>
      </w:r>
      <w:r w:rsidDel="00000000" w:rsidR="00000000" w:rsidRPr="00000000">
        <w:rPr>
          <w:rtl w:val="0"/>
        </w:rPr>
        <w:t xml:space="preserve">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2</w:t>
      </w:r>
    </w:p>
    <w:p w:rsidR="00000000" w:rsidDel="00000000" w:rsidP="00000000" w:rsidRDefault="00000000" w:rsidRPr="00000000" w14:paraId="00000003">
      <w:pPr>
        <w:pStyle w:val="Heading1"/>
        <w:rPr/>
      </w:pPr>
      <w:r w:rsidDel="00000000" w:rsidR="00000000" w:rsidRPr="00000000">
        <w:rPr>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clearly define the:</w:t>
      </w:r>
    </w:p>
    <w:p w:rsidR="00000000" w:rsidDel="00000000" w:rsidP="00000000" w:rsidRDefault="00000000" w:rsidRPr="00000000" w14:paraId="000000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to be followed when a child requires medication while attending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of staff, parents/guardians and the Approved Provider to ensure the safe administration of medication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pStyle w:val="Heading1"/>
        <w:rPr/>
      </w:pPr>
      <w:r w:rsidDel="00000000" w:rsidR="00000000" w:rsidRPr="00000000">
        <w:rPr>
          <w:rtl w:val="0"/>
        </w:rPr>
        <w:t xml:space="preserve">Policy statement</w:t>
      </w:r>
    </w:p>
    <w:p w:rsidR="00000000" w:rsidDel="00000000" w:rsidP="00000000" w:rsidRDefault="00000000" w:rsidRPr="00000000" w14:paraId="00000008">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educators, staff and other persons attending the service</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immediately to the needs of a child who is ill or becomes ill while attending the service</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safe and appropriate administration of medication in accordance with legislative and regulatory requirements.</w:t>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covers the administration of both prescribed and non-prescribed medication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during offsite excursions and activities.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staff, students on placement, volunteers, parents/guardians, children and others attending the programs and activities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1">
      <w:pPr>
        <w:pStyle w:val="Heading4"/>
        <w:rPr/>
      </w:pPr>
      <w:r w:rsidDel="00000000" w:rsidR="00000000" w:rsidRPr="00000000">
        <w:rPr>
          <w:rtl w:val="0"/>
        </w:rPr>
        <w:t xml:space="preserve">Authorisation to administer medication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rule, medication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an anaphylaxis or asthma emergency, where the child does not have a medical management plan or other form of authorisation, first aid treatment is provided as described in the Anaphylaxis Policy and Asthma Policy. In this circumstance, the child’s parent/guardian and emergency services must be contacted as soon as possible after first aid has commenced (Regulation 94).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all other emergencies, it is acceptable to obtain verbal consent from a parent/guardian, or to obtain consent from a registered medical practitioner or medical emergency services if the child’s parent/guardian cannot be contacted. </w:t>
      </w:r>
    </w:p>
    <w:p w:rsidR="00000000" w:rsidDel="00000000" w:rsidP="00000000" w:rsidRDefault="00000000" w:rsidRPr="00000000" w14:paraId="00000015">
      <w:pPr>
        <w:pStyle w:val="Heading4"/>
        <w:rPr/>
      </w:pPr>
      <w:r w:rsidDel="00000000" w:rsidR="00000000" w:rsidRPr="00000000">
        <w:rPr>
          <w:rtl w:val="0"/>
        </w:rPr>
        <w:t xml:space="preserve">Administration of medication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must ensure that when staff administer medication, they must follow the guidelines of this policy and the procedures outlined in Attachment 1 – Procedures for the safe administration of medication.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medication record</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completed with the following information:</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child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authorisation to administer medication (including self-administration, if applicable) signed by a parent/guardian or a person named in the child's enrolment record as authorised to consent to administration of medication</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medication to be administered</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medication was last administered</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or the circumstances under which the medication should be next administered</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dosage of the medication to be administered</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medication is to be administered</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medication is administered to the child:</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dosage that was administered</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medication was administered</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medication was administered</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who administered the medication</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4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who checked the dosage, if another person is required under Regulation 95 to check the dosage and administration of the medication.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1128395"/>
                <wp:effectExtent b="0" l="0" r="0" t="0"/>
                <wp:docPr id="9" name=""/>
                <a:graphic>
                  <a:graphicData uri="http://schemas.microsoft.com/office/word/2010/wordprocessingShape">
                    <wps:wsp>
                      <wps:cNvSpPr/>
                      <wps:cNvPr id="4" name="Shape 4"/>
                      <wps:spPr>
                        <a:xfrm>
                          <a:off x="2508185" y="3220565"/>
                          <a:ext cx="5675630" cy="111887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Services which provide education and care to a child over preschool age (as defined in the </w:t>
                            </w:r>
                            <w:r w:rsidDel="00000000" w:rsidR="00000000" w:rsidRPr="00000000">
                              <w:rPr>
                                <w:rFonts w:ascii="Arial" w:cs="Arial" w:eastAsia="Arial" w:hAnsi="Arial"/>
                                <w:b w:val="0"/>
                                <w:i w:val="1"/>
                                <w:smallCaps w:val="0"/>
                                <w:strike w:val="0"/>
                                <w:color w:val="000000"/>
                                <w:sz w:val="20"/>
                                <w:vertAlign w:val="baseline"/>
                              </w:rPr>
                              <w:t xml:space="preserve">Education and Care Services National Regulations 2011</w:t>
                            </w:r>
                            <w:r w:rsidDel="00000000" w:rsidR="00000000" w:rsidRPr="00000000">
                              <w:rPr>
                                <w:rFonts w:ascii="Arial" w:cs="Arial" w:eastAsia="Arial" w:hAnsi="Arial"/>
                                <w:b w:val="0"/>
                                <w:i w:val="0"/>
                                <w:smallCaps w:val="0"/>
                                <w:strike w:val="0"/>
                                <w:color w:val="000000"/>
                                <w:sz w:val="20"/>
                                <w:vertAlign w:val="baseline"/>
                              </w:rPr>
                              <w:t xml:space="preserve">)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anchorCtr="0" anchor="ctr" bIns="82800" lIns="91425" spcFirstLastPara="1" rIns="91425" wrap="square" tIns="45700">
                        <a:noAutofit/>
                      </wps:bodyPr>
                    </wps:wsp>
                  </a:graphicData>
                </a:graphic>
              </wp:inline>
            </w:drawing>
          </mc:Choice>
          <mc:Fallback>
            <w:drawing>
              <wp:inline distB="0" distT="0" distL="0" distR="0">
                <wp:extent cx="5685155" cy="1128395"/>
                <wp:effectExtent b="0" l="0" r="0" t="0"/>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685155" cy="11283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pStyle w:val="Heading4"/>
        <w:rPr/>
      </w:pPr>
      <w:r w:rsidDel="00000000" w:rsidR="00000000" w:rsidRPr="00000000">
        <w:rPr>
          <w:rtl w:val="0"/>
        </w:rPr>
        <w:t xml:space="preserve">Legislation and standards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Regulations 2009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Therapeutic Goods Act 1989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r w:rsidDel="00000000" w:rsidR="00000000" w:rsidRPr="00000000">
        <w:rPr>
          <w:rtl w:val="0"/>
        </w:rPr>
      </w:r>
    </w:p>
    <w:p w:rsidR="00000000" w:rsidDel="00000000" w:rsidP="00000000" w:rsidRDefault="00000000" w:rsidRPr="00000000" w14:paraId="00000031">
      <w:pPr>
        <w:pStyle w:val="Heading2"/>
        <w:numPr>
          <w:ilvl w:val="0"/>
          <w:numId w:val="1"/>
        </w:numPr>
        <w:spacing w:before="280" w:lineRule="auto"/>
        <w:ind w:left="720" w:hanging="360"/>
        <w:rPr/>
      </w:pPr>
      <w:r w:rsidDel="00000000" w:rsidR="00000000" w:rsidRPr="00000000">
        <w:rPr>
          <w:rtl w:val="0"/>
        </w:rPr>
        <w:t xml:space="preserve">Definitions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first aid qualification: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list of approved first aid qualifications, anaphylaxis management and emergency asthma management training is published on the ACECQA website: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Illness: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sickness and/or associated symptoms that affect the child’s normal participation in the activities or program at the service.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Infectious disease: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Injury: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harm or damage to a person.</w:t>
      </w:r>
    </w:p>
    <w:p w:rsidR="00000000" w:rsidDel="00000000" w:rsidP="00000000" w:rsidRDefault="00000000" w:rsidRPr="00000000" w14:paraId="00000036">
      <w:pPr>
        <w:spacing w:after="0" w:before="17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Medication: </w:t>
      </w:r>
      <w:r w:rsidDel="00000000" w:rsidR="00000000" w:rsidRPr="00000000">
        <w:rPr>
          <w:rFonts w:ascii="Arial" w:cs="Arial" w:eastAsia="Arial" w:hAnsi="Arial"/>
          <w:sz w:val="20"/>
          <w:szCs w:val="20"/>
          <w:rtl w:val="0"/>
        </w:rPr>
        <w:t xml:space="preserve">Prescribed and non-prescribed medication as defined below.</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Non-prescribed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Over-the-counter medication including vitamins and cultural herbs or homeopathic medications that may have been recommended by an alternative health care professional such as a naturopath.</w:t>
      </w:r>
    </w:p>
    <w:p w:rsidR="00000000" w:rsidDel="00000000" w:rsidP="00000000" w:rsidRDefault="00000000" w:rsidRPr="00000000" w14:paraId="00000038">
      <w:pPr>
        <w:spacing w:after="0" w:before="170" w:lineRule="auto"/>
        <w:rPr>
          <w:b w:val="1"/>
          <w:sz w:val="20"/>
          <w:szCs w:val="20"/>
        </w:rPr>
      </w:pPr>
      <w:r w:rsidDel="00000000" w:rsidR="00000000" w:rsidRPr="00000000">
        <w:rPr>
          <w:rFonts w:ascii="Arial" w:cs="Arial" w:eastAsia="Arial" w:hAnsi="Arial"/>
          <w:b w:val="1"/>
          <w:sz w:val="20"/>
          <w:szCs w:val="20"/>
          <w:rtl w:val="0"/>
        </w:rPr>
        <w:t xml:space="preserve">Prescribed</w:t>
      </w:r>
      <w:r w:rsidDel="00000000" w:rsidR="00000000" w:rsidRPr="00000000">
        <w:rPr>
          <w:b w:val="1"/>
          <w:sz w:val="20"/>
          <w:szCs w:val="20"/>
          <w:rtl w:val="0"/>
        </w:rPr>
        <w:t xml:space="preserve"> </w:t>
      </w:r>
      <w:r w:rsidDel="00000000" w:rsidR="00000000" w:rsidRPr="00000000">
        <w:rPr>
          <w:rFonts w:ascii="Arial" w:cs="Arial" w:eastAsia="Arial" w:hAnsi="Arial"/>
          <w:b w:val="1"/>
          <w:sz w:val="20"/>
          <w:szCs w:val="20"/>
          <w:rtl w:val="0"/>
        </w:rPr>
        <w:t xml:space="preserve">medication:</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Medicine, as defined in the </w:t>
      </w:r>
      <w:r w:rsidDel="00000000" w:rsidR="00000000" w:rsidRPr="00000000">
        <w:rPr>
          <w:rFonts w:ascii="Arial" w:cs="Arial" w:eastAsia="Arial" w:hAnsi="Arial"/>
          <w:i w:val="1"/>
          <w:sz w:val="20"/>
          <w:szCs w:val="20"/>
          <w:rtl w:val="0"/>
        </w:rPr>
        <w:t xml:space="preserve">Therapeutic Goods Act 1989</w:t>
      </w:r>
      <w:r w:rsidDel="00000000" w:rsidR="00000000" w:rsidRPr="00000000">
        <w:rPr>
          <w:rFonts w:ascii="Arial" w:cs="Arial" w:eastAsia="Arial" w:hAnsi="Arial"/>
          <w:sz w:val="20"/>
          <w:szCs w:val="20"/>
          <w:rtl w:val="0"/>
        </w:rPr>
        <w:t xml:space="preserve"> (Cth), that is: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by a health care professional </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dispensed by a health care professional with a printed label that includes the name of the child being prescribed the medication, the medication dosage and expiry date.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the person administering the medication and of the person checking the medication, if required (Regulation 92). A sample medication record is available on the ACECQA website.</w:t>
      </w:r>
    </w:p>
    <w:p w:rsidR="00000000" w:rsidDel="00000000" w:rsidP="00000000" w:rsidRDefault="00000000" w:rsidRPr="00000000" w14:paraId="0000003C">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D">
      <w:pPr>
        <w:pStyle w:val="Heading4"/>
        <w:rPr/>
      </w:pPr>
      <w:r w:rsidDel="00000000" w:rsidR="00000000" w:rsidRPr="00000000">
        <w:rPr>
          <w:rtl w:val="0"/>
        </w:rPr>
        <w:t xml:space="preserve">Sources</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VMIA Insurance Guide and FAQs, Community Service Organisations insurance program: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www.vmia.vic.gov.au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www.acecqa.gov.au</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Allergy &amp; Anaphylaxis Australia: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www.allergyfacts.org.au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Asthma Australia: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www.asthmaaustralia.org.au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Healthdirect: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www.healthdirect.gov.au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4D">
      <w:pPr>
        <w:pStyle w:val="Heading1"/>
        <w:rPr/>
      </w:pPr>
      <w:r w:rsidDel="00000000" w:rsidR="00000000" w:rsidRPr="00000000">
        <w:rPr>
          <w:rtl w:val="0"/>
        </w:rPr>
        <w:t xml:space="preserve">Procedures</w:t>
      </w:r>
    </w:p>
    <w:p w:rsidR="00000000" w:rsidDel="00000000" w:rsidP="00000000" w:rsidRDefault="00000000" w:rsidRPr="00000000" w14:paraId="0000004E">
      <w:pPr>
        <w:pStyle w:val="Heading4"/>
        <w:rPr/>
      </w:pPr>
      <w:r w:rsidDel="00000000" w:rsidR="00000000" w:rsidRPr="00000000">
        <w:rPr>
          <w:rtl w:val="0"/>
        </w:rPr>
        <w:t xml:space="preserve">The Approved Provider and Persons with Management or Control are responsible for:</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only administered to a child being educated and cared for by the service when it is authorised, except in the case of an anaphylaxis or asthma emergency (Regulations 93, 94)</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medication is administered in accordance with Attachment 1 – Procedures for the safe administration of medication (Regulation 95)</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if a child over preschool age at the service is permitted to self-administer medication (Regulation 96), an authorisation for the child to self-administer medication is recorded in the medication record for the child</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medication record that meets the requirements set out in Regulation 92(3) is available at all times for recording the administration of medication to children at the service (Regulation 92). (Refer to the template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given written notice as soon as is practicable if medication has been administered in an emergency and where authorisation has been given verbally (Regulation 93(2))</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parent/guardian of the child and emergency services are notified as soon as is practicable when medication has been administered in an anaphylaxis or asthma emergency (Regulation 94(2))</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on duty has a current approved first aid qualification, anaphylaxis management training and asthma management training (Regulation 136). (Note: this is a minimum requirement. As a demonstration of duty of care and best practice, ELAA recommends that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educators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current approved first aid qualifications and anaphylaxis management training and asthma management training.)</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reviewing procedures for the authorisation and administration of medication required for the treatment or management of long-term conditions (see Attachment 1 – Procedures for the safe administration of medication)</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staff are familiar with the procedures for the administration of medication (see Attachment 1 – Procedures for the safe administration of medication)</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7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records are kept and stored securely until the end of 3 years after the last date on which the child was educated and cared for by the service (Regulation 183(2)(d))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633095"/>
                <wp:effectExtent b="0" l="0" r="0" t="0"/>
                <wp:docPr id="8" name=""/>
                <a:graphic>
                  <a:graphicData uri="http://schemas.microsoft.com/office/word/2010/wordprocessingShape">
                    <wps:wsp>
                      <wps:cNvSpPr/>
                      <wps:cNvPr id="3" name="Shape 3"/>
                      <wps:spPr>
                        <a:xfrm>
                          <a:off x="2508185" y="3468215"/>
                          <a:ext cx="5675630" cy="623570"/>
                        </a:xfrm>
                        <a:prstGeom prst="rect">
                          <a:avLst/>
                        </a:prstGeom>
                        <a:solidFill>
                          <a:srgbClr val="DDDDDD"/>
                        </a:solidFill>
                        <a:ln>
                          <a:noFill/>
                        </a:ln>
                      </wps:spPr>
                      <wps:txbx>
                        <w:txbxContent>
                          <w:p w:rsidR="00000000" w:rsidDel="00000000" w:rsidP="00000000" w:rsidRDefault="00000000" w:rsidRPr="00000000">
                            <w:pPr>
                              <w:spacing w:after="0" w:before="0" w:line="275.9999942779541"/>
                              <w:ind w:left="227.00000762939453"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determining under what circumstances a child over preschool age will be allowed to self-administer their own medication and ensuring there are appropriate procedures in place for staff to follow in these instances (Regulation 96).</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633095"/>
                <wp:effectExtent b="0" l="0" r="0" t="0"/>
                <wp:docPr id="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685155" cy="6330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pStyle w:val="Heading4"/>
        <w:spacing w:before="200" w:lineRule="auto"/>
        <w:rPr/>
      </w:pPr>
      <w:r w:rsidDel="00000000" w:rsidR="00000000" w:rsidRPr="00000000">
        <w:rPr>
          <w:rtl w:val="0"/>
        </w:rPr>
        <w:t xml:space="preserve">The Nominated Supervisor and Persons in Day-to-Day Charge are responsible for:</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only administered to a child where authorisation has been provided, except in the case of an anaphylaxis or asthma emergency (Regulations 93, 94)</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medication is administered in accordance with Attachment 1 – Procedures for the safe administration of medication (Regulation 95)</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parent/guardian of the child and emergency services are notified as soon as is practicable when medication has been administered in an anaphylaxis or asthma emergency (Regulation 94(2))</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accessible to children and is stored in a childproof container (including in the refrigerator for medications requiring refrigeration)</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children who require medication for ongoing conditions or in emergencies, and ensuring that the medical management plans are completed and attached to the child’s enrolment form (Regulation 162), and displayed for use by those caring for children (being sensitive to privacy requirements)</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documenting situations in which an authorised person has provided verbal authorisation but has refused to confirm the authorisation in writing (these notes are to be kept with the child’s enrolment record)</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as soon as is practicable if an incident occurs in which the child was administered the incorrect medication or incorrect dose,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that non-prescribed medication (with the exception of sunscreen) will only be administered for a maximum of 48 hours, after which a medical management plan from a doctor will be required for its continued use</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that paracetamol is not supplied by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the administration of paracetamol will be in line with the administration of all other medication (refer to Attachment 2 – Administration of paracetamol).</w:t>
      </w:r>
    </w:p>
    <w:p w:rsidR="00000000" w:rsidDel="00000000" w:rsidP="00000000" w:rsidRDefault="00000000" w:rsidRPr="00000000" w14:paraId="00000064">
      <w:pPr>
        <w:pStyle w:val="Heading4"/>
        <w:spacing w:before="170" w:lineRule="auto"/>
        <w:rPr>
          <w:b w:val="0"/>
        </w:rPr>
      </w:pPr>
      <w:r w:rsidDel="00000000" w:rsidR="00000000" w:rsidRPr="00000000">
        <w:rPr>
          <w:b w:val="1"/>
          <w:color w:val="000000"/>
          <w:rtl w:val="0"/>
        </w:rPr>
        <w:t xml:space="preserve">All staff are</w:t>
      </w:r>
      <w:r w:rsidDel="00000000" w:rsidR="00000000" w:rsidRPr="00000000">
        <w:rPr>
          <w:b w:val="0"/>
          <w:rtl w:val="0"/>
        </w:rPr>
        <w:t xml:space="preserve"> </w:t>
      </w:r>
      <w:r w:rsidDel="00000000" w:rsidR="00000000" w:rsidRPr="00000000">
        <w:rPr>
          <w:rtl w:val="0"/>
        </w:rPr>
        <w:t xml:space="preserve">responsible for:</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enrolment form provides details of the name, address and telephone number of any person who is authorised to consent to medical treatment of, or to authorise administration of medication to the child (Regulation 160(3)(iv))</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medication in accordance with Regulation 95 and the guidelines set out in Attachment 1 – Procedures for the safe administration of medication</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details in the medication record have been completed by parents/guardians/authorised persons in accordance with Regulation 92(3) prior to administering medication</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two staff members, one of whom must be an educator, are present when verbal permission to administer medication is received, and that details of this verbal authorisation are completed in the medication record</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verbal permission is followed up with a written authorisation as soon as is practicable</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take all medication home at the end of each session/day.</w:t>
      </w:r>
    </w:p>
    <w:p w:rsidR="00000000" w:rsidDel="00000000" w:rsidP="00000000" w:rsidRDefault="00000000" w:rsidRPr="00000000" w14:paraId="0000006D">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medication to be administered is recorded in the medication record kept at the service premises</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current medical management plan when their child requires long-term treatment of a condition that includes medication, or their child has been prescribed medication to be used for a diagnosed condition in an emergency</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prescribed medications to be administered at the service are provided in their original container with the label intact, bearing the child’s name, dosage, instructions and the expiry date (Regulation 95(a)(i))</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medications to be administered at the service are within their expiry date</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physically handing the medication to a staff member and informing them of the appropriate storage and administration instructions for the medication provided</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labelling non-prescription medications and over-the-counter products (for example sun block and nappy cream) with the child’s name. The instructions and use-by dates must also be visible</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medication or over-the-counter products are left in their child’s bag or locker</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all medication home at the end of each session/day</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service if any medication has been administered to the child before bringing them to the service, and if the administration of that medication is relevant to or may affect the care provided to the child at the service</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their child’s enrolment details are up to date, and providing current details of persons who have lawful authority to request or permit the administration of medication.</w:t>
      </w:r>
    </w:p>
    <w:p w:rsidR="00000000" w:rsidDel="00000000" w:rsidP="00000000" w:rsidRDefault="00000000" w:rsidRPr="00000000" w14:paraId="00000078">
      <w:pPr>
        <w:pStyle w:val="Heading4"/>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79">
      <w:pPr>
        <w:pStyle w:val="Heading1"/>
        <w:rPr/>
      </w:pPr>
      <w:r w:rsidDel="00000000" w:rsidR="00000000" w:rsidRPr="00000000">
        <w:rPr>
          <w:rtl w:val="0"/>
        </w:rPr>
        <w:t xml:space="preserve">Evaluation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 unless a lesser period is necessary because of a risk. </w:t>
      </w:r>
    </w:p>
    <w:p w:rsidR="00000000" w:rsidDel="00000000" w:rsidP="00000000" w:rsidRDefault="00000000" w:rsidRPr="00000000" w14:paraId="00000080">
      <w:pPr>
        <w:pStyle w:val="Heading1"/>
        <w:rPr/>
      </w:pPr>
      <w:r w:rsidDel="00000000" w:rsidR="00000000" w:rsidRPr="00000000">
        <w:rPr>
          <w:rtl w:val="0"/>
        </w:rPr>
        <w:t xml:space="preserve">Attachments</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the safe administration of medication</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Administration of paracetamol</w:t>
      </w:r>
    </w:p>
    <w:p w:rsidR="00000000" w:rsidDel="00000000" w:rsidP="00000000" w:rsidRDefault="00000000" w:rsidRPr="00000000" w14:paraId="00000083">
      <w:pPr>
        <w:pStyle w:val="Heading1"/>
        <w:rPr/>
      </w:pPr>
      <w:r w:rsidDel="00000000" w:rsidR="00000000" w:rsidRPr="00000000">
        <w:rPr>
          <w:rtl w:val="0"/>
        </w:rPr>
        <w:t xml:space="preserve">Authorisation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March </w:t>
      </w: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br w:type="textWrapping"/>
        <w:br w:type="textWrapping"/>
      </w:r>
      <w:r w:rsidDel="00000000" w:rsidR="00000000" w:rsidRPr="00000000">
        <w:rPr>
          <w:b w:val="1"/>
          <w:rtl w:val="0"/>
        </w:rPr>
        <w:t xml:space="preserve">Review date:</w:t>
      </w:r>
      <w:r w:rsidDel="00000000" w:rsidR="00000000" w:rsidRPr="00000000">
        <w:rPr>
          <w:rtl w:val="0"/>
        </w:rPr>
        <w:t xml:space="preserve">    </w:t>
      </w:r>
      <w:r w:rsidDel="00000000" w:rsidR="00000000" w:rsidRPr="00000000">
        <w:rPr>
          <w:b w:val="0"/>
          <w:rtl w:val="0"/>
        </w:rPr>
        <w:t xml:space="preserve">March </w:t>
      </w:r>
      <w:r w:rsidDel="00000000" w:rsidR="00000000" w:rsidRPr="00000000">
        <w:rPr>
          <w:b w:val="0"/>
          <w:rtl w:val="0"/>
        </w:rPr>
        <w:t xml:space="preserve">202</w:t>
      </w:r>
      <w:r w:rsidDel="00000000" w:rsidR="00000000" w:rsidRPr="00000000">
        <w:rPr>
          <w:b w:val="0"/>
          <w:rtl w:val="0"/>
        </w:rPr>
        <w:t xml:space="preserve">7</w:t>
      </w:r>
      <w:r w:rsidDel="00000000" w:rsidR="00000000" w:rsidRPr="00000000">
        <w:rPr>
          <w:rtl w:val="0"/>
        </w:rPr>
      </w:r>
    </w:p>
    <w:p w:rsidR="00000000" w:rsidDel="00000000" w:rsidP="00000000" w:rsidRDefault="00000000" w:rsidRPr="00000000" w14:paraId="00000085">
      <w:pPr>
        <w:keepNext w:val="0"/>
        <w:keepLines w:val="0"/>
        <w:pageBreakBefore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the safe administration of medication</w:t>
      </w:r>
      <w:r w:rsidDel="00000000" w:rsidR="00000000" w:rsidRPr="00000000">
        <w:rPr>
          <w:rFonts w:ascii="Arial" w:cs="Arial" w:eastAsia="Arial" w:hAnsi="Arial"/>
          <w:b w:val="1"/>
          <w:sz w:val="24"/>
          <w:szCs w:val="24"/>
          <w:rtl w:val="0"/>
        </w:rPr>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staff, one of whom must be an educator, are responsible for the administration of any medication</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least one of these persons must hold a current approved first aid qualification. </w:t>
        <w:br w:type="textWrapping"/>
        <w:t xml:space="preserve">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r w:rsidDel="00000000" w:rsidR="00000000" w:rsidRPr="00000000">
        <w:rPr>
          <w:rFonts w:ascii="Arial" w:cs="Arial" w:eastAsia="Arial" w:hAnsi="Arial"/>
          <w:sz w:val="20"/>
          <w:szCs w:val="20"/>
          <w:rtl w:val="0"/>
        </w:rPr>
        <w:br w:type="textWrapping"/>
        <w:br w:type="textWrapping"/>
      </w:r>
      <w:r w:rsidDel="00000000" w:rsidR="00000000" w:rsidRPr="00000000">
        <w:rPr>
          <w:b w:val="1"/>
          <w:rtl w:val="0"/>
        </w:rPr>
        <w:t xml:space="preserve">Procedure for administration of medication</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 and dry hands thoroughly before administering any medication. If appropriate, gloves are recommended wherever possible.</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17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the medication record to confirm date, time, dosage and the child to whom the medication is to be administered.</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17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prescription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its original container, bearing the original label and instructions</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correct medication, as listed in the medication record</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child’s name on it (if the medication was prescribed by a registered medical practitioner)</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required dosage, as listed in the medication record</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not passed its expiry date.</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17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non-prescription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the original container, bearing the original label and instructions</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correct medication, as listed in the medication record</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child’s name on it</w:t>
      </w:r>
    </w:p>
    <w:p w:rsidR="00000000" w:rsidDel="00000000" w:rsidP="00000000" w:rsidRDefault="00000000" w:rsidRPr="00000000" w14:paraId="000000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required dosage, as listed in the medication record</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not passed its expiry date.</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17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administering the medication, ensure that:</w:t>
      </w:r>
    </w:p>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identity of the child is confirmed and matched to the specific medication</w:t>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correct dosage is given</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medication is administered in accordance with the instructions attached to the medication, or any written or verbal instructions provided by a registered medical practitioner</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staff members complete the medication record (Regulation 92(3)(h)) and store any remaining medication appropriately, such as in the refrigerator if required</w:t>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Supervisor or Certified Supervisor informs the parent/guardian on arrival to collect the child that medication has been administered and ensures that the parent/guardian completes the required details in the medication record.</w:t>
      </w:r>
    </w:p>
    <w:p w:rsidR="00000000" w:rsidDel="00000000" w:rsidP="00000000" w:rsidRDefault="00000000" w:rsidRPr="00000000" w14:paraId="0000009B">
      <w:pPr>
        <w:pStyle w:val="Heading4"/>
        <w:spacing w:before="170" w:lineRule="auto"/>
        <w:rPr/>
      </w:pPr>
      <w:r w:rsidDel="00000000" w:rsidR="00000000" w:rsidRPr="00000000">
        <w:rPr>
          <w:rtl w:val="0"/>
        </w:rPr>
        <w:t xml:space="preserve">Administration of medication for ongoing medical conditions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child is diagnosed with a condition that requires ongoing medication or medication to be administered in emergencies, parents/guardians may authorise the administration of the medication for a defined period. In these cases:</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medical management plan completed by the child’s doctor should be provided and attached to the child’s enrolment form (and on display, where appropriate)</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medical management plan should define:</w:t>
      </w:r>
    </w:p>
    <w:p w:rsidR="00000000" w:rsidDel="00000000" w:rsidP="00000000" w:rsidRDefault="00000000" w:rsidRPr="00000000" w14:paraId="0000009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medication, dosage and frequency of administration</w:t>
      </w:r>
    </w:p>
    <w:p w:rsidR="00000000" w:rsidDel="00000000" w:rsidP="00000000" w:rsidRDefault="00000000" w:rsidRPr="00000000" w14:paraId="000000A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conditions under which medication should be administered</w:t>
      </w:r>
    </w:p>
    <w:p w:rsidR="00000000" w:rsidDel="00000000" w:rsidP="00000000" w:rsidRDefault="00000000" w:rsidRPr="00000000" w14:paraId="000000A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actions, if any, should be taken following the administration of the medication</w:t>
      </w:r>
    </w:p>
    <w:p w:rsidR="00000000" w:rsidDel="00000000" w:rsidP="00000000" w:rsidRDefault="00000000" w:rsidRPr="00000000" w14:paraId="000000A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plan will be reviewed.</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medication is required under these circumstances, staff should:</w:t>
      </w:r>
    </w:p>
    <w:p w:rsidR="00000000" w:rsidDel="00000000" w:rsidP="00000000" w:rsidRDefault="00000000" w:rsidRPr="00000000" w14:paraId="000000A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procedures listed above</w:t>
      </w:r>
    </w:p>
    <w:p w:rsidR="00000000" w:rsidDel="00000000" w:rsidP="00000000" w:rsidRDefault="00000000" w:rsidRPr="00000000" w14:paraId="000000A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required details are completed in the medication record</w:t>
      </w:r>
    </w:p>
    <w:p w:rsidR="00000000" w:rsidDel="00000000" w:rsidP="00000000" w:rsidRDefault="00000000" w:rsidRPr="00000000" w14:paraId="000000A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parents as soon as is practicable.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further information.</w:t>
      </w:r>
    </w:p>
    <w:p w:rsidR="00000000" w:rsidDel="00000000" w:rsidP="00000000" w:rsidRDefault="00000000" w:rsidRPr="00000000" w14:paraId="000000A8">
      <w:pPr>
        <w:pageBreakBefore w:val="1"/>
        <w:spacing w:after="40" w:lineRule="auto"/>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ATTACHMENT 2</w:t>
      </w:r>
    </w:p>
    <w:p w:rsidR="00000000" w:rsidDel="00000000" w:rsidP="00000000" w:rsidRDefault="00000000" w:rsidRPr="00000000" w14:paraId="000000A9">
      <w:pPr>
        <w:spacing w:after="7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Administration of paracetamol</w:t>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If a child has any of the following symptoms of coronavirus (COVID-19) outlined below, however mild, they should get tested and must remain at home until they receive their results:</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Fever</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Chills or sweats</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Cough</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Sore throat</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Shortness of breath</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Runny nose</w:t>
      </w:r>
    </w:p>
    <w:p w:rsidR="00000000" w:rsidDel="00000000" w:rsidP="00000000" w:rsidRDefault="00000000" w:rsidRPr="00000000" w14:paraId="000000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 of sense of smell and taste</w:t>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certain circumstances headache, muscle soreness, stuffy nose, nausea, vomiting and diarrhoea may also be considered.</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If a staff member is unsure whether a child is unwell, a trained staff member could take the temperature of the child, where appropriate, to support decision making. Gloves should be worn for the purpose of taking a temperature.</w:t>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While the service is waiting for the child who may be experiencing compatible symptoms with coronavirus (COVID-19) to be collected by the parent/guardian, staff will use precautionary measures, such as:</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isolate the unwell child in an appropriate space with suitable supervision </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the intake of fluids, to keep the child cool, comfortable and well hydrated</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 hand hygiene, physical distancing and where possible utilise a face mask</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 masks should not be used in situations where a child is unable to safely or practically tolerate a mask (e.g. a child with complex medical needs, including existing respiratory needs, and younger children)</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cleaning protocols of your COVIDSafe Plan to ensure the area the child was waiting is disinfected.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If a child requires paracetamol and has returned a COVID negative result, families will be required to provide written and signed consent for the administration paracetamol.</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If parents/guardians request that educators/staff administer paracetamol, educators/staff should:</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only to a child who has a temperature above 38.5°C and is in discomfort or pain</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only one dose of paracetamol in any instance and ensure that the child has not had any other medicine containing paracetamol in the last four hours</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preparations that contain paracetamol only, not a ‘cold and flu’ or combined preparation</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only single doses, disposable droppers or applicators and only use once per child</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that there are numerous dose forms and concentrations in paracetamol for children and administer the most appropriate concentration and dose for the child who is being administered the paracetamol.</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State Government (February 2021),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Managing illness in schools and early childhood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https://www.coronavirus.vic.gov.au/managing-unwell-child-or-staff-member</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Royal Children’s Hospital Melbourne (July 2020),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Fever in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https://www.rch.org.au/kidsinfo/fact_sheets/Fever_in_children/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Royal Children’s Hospital Melbourne (July 2020),</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Pain relief for children – paracetamol and ibuprofen: </w:t>
      </w:r>
      <w:hyperlink r:id="rId19">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https://www.rch.org.au/kidsinfo/fact_sheets/Pain_relief_for_children/</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sz w:val="16"/>
        <w:szCs w:val="16"/>
      </w:rPr>
    </w:pPr>
    <w:r w:rsidDel="00000000" w:rsidR="00000000" w:rsidRPr="00000000">
      <w:rPr>
        <w:sz w:val="16"/>
        <w:szCs w:val="16"/>
        <w:rtl w:val="0"/>
      </w:rPr>
      <w:t xml:space="preserve">© Woodridge Pre-School 2024</w:t>
    </w:r>
  </w:p>
  <w:tbl>
    <w:tblPr>
      <w:tblStyle w:val="Table1"/>
      <w:tblW w:w="9070.0" w:type="dxa"/>
      <w:jc w:val="left"/>
      <w:tblBorders>
        <w:top w:color="000000" w:space="0" w:sz="4" w:val="single"/>
      </w:tblBorders>
      <w:tblLayout w:type="fixed"/>
      <w:tblLook w:val="0400"/>
    </w:tblPr>
    <w:tblGrid>
      <w:gridCol w:w="4532"/>
      <w:gridCol w:w="4538"/>
      <w:tblGridChange w:id="0">
        <w:tblGrid>
          <w:gridCol w:w="4532"/>
          <w:gridCol w:w="4538"/>
        </w:tblGrid>
      </w:tblGridChange>
    </w:tblGrid>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2019 Early Learning Association Australia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Administration of Medication Policy (March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A template of a medication record can be downloaded from: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142" w:right="0" w:hanging="14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Note: under Regulation 95(c), this is not a requirement in an education and care service that is permitted to have only one educator to educate and care for children.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center" w:leader="none" w:pos="4513"/>
        <w:tab w:val="right" w:leader="none" w:pos="9026"/>
      </w:tabs>
      <w:jc w:val="right"/>
      <w:rPr>
        <w:rFonts w:ascii="Arial" w:cs="Arial" w:eastAsia="Arial" w:hAnsi="Arial"/>
        <w:i w:val="1"/>
      </w:rPr>
    </w:pPr>
    <w:bookmarkStart w:colFirst="0" w:colLast="0" w:name="_heading=h.gjdgxs" w:id="0"/>
    <w:bookmarkEnd w:id="0"/>
    <w:r w:rsidDel="00000000" w:rsidR="00000000" w:rsidRPr="00000000">
      <w:rPr>
        <w:i w:val="1"/>
      </w:rPr>
      <w:drawing>
        <wp:inline distB="0" distT="0" distL="0" distR="0">
          <wp:extent cx="695325" cy="68580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73752"/>
              <wp:effectExtent b="0" l="0" r="0" t="0"/>
              <wp:wrapNone/>
              <wp:docPr id="7"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75.9999942779541"/>
                            <w:ind w:left="0" w:right="-731.9999694824219" w:firstLine="0"/>
                            <w:jc w:val="both"/>
                            <w:textDirection w:val="btLr"/>
                          </w:pPr>
                          <w:r w:rsidDel="00000000" w:rsidR="00000000" w:rsidRPr="00000000">
                            <w:rPr>
                              <w:rFonts w:ascii="Calibri" w:cs="Calibri" w:eastAsia="Calibri" w:hAnsi="Calibri"/>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75.9999942779541"/>
                            <w:ind w:left="0" w:right="-731.9999694824219" w:firstLine="0"/>
                            <w:jc w:val="both"/>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3"/>
                              <w:vertAlign w:val="baseline"/>
                            </w:rPr>
                            <w:t xml:space="preserve">woodridge.kin@kindergarten.vic.gov.au</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3"/>
                              <w:vertAlign w:val="baseline"/>
                            </w:rPr>
                          </w:r>
                          <w:r w:rsidDel="00000000" w:rsidR="00000000" w:rsidRPr="00000000">
                            <w:rPr>
                              <w:rFonts w:ascii="Calibri" w:cs="Calibri" w:eastAsia="Calibri" w:hAnsi="Calibri"/>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73752"/>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7375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227" w:hanging="227"/>
      </w:pPr>
      <w:rPr/>
    </w:lvl>
    <w:lvl w:ilvl="1">
      <w:start w:val="1"/>
      <w:numFmt w:val="lowerRoman"/>
      <w:lvlText w:val="%2)"/>
      <w:lvlJc w:val="left"/>
      <w:pPr>
        <w:ind w:left="510" w:hanging="283"/>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FB1093"/>
    <w:pPr>
      <w:spacing w:after="200" w:line="276" w:lineRule="auto"/>
    </w:pPr>
    <w:rPr>
      <w:rFonts w:asciiTheme="minorHAnsi" w:cstheme="minorBidi" w:eastAsiaTheme="minorHAnsi" w:hAnsiTheme="minorHAnsi"/>
      <w:sz w:val="22"/>
      <w:szCs w:val="22"/>
      <w:lang w:eastAsia="en-US"/>
    </w:rPr>
  </w:style>
  <w:style w:type="paragraph" w:styleId="Heading1">
    <w:name w:val="heading 1"/>
    <w:next w:val="BodyText"/>
    <w:link w:val="Heading1Char"/>
    <w:qFormat w:val="1"/>
    <w:rsid w:val="00FB1093"/>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FB1093"/>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B1093"/>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FB1093"/>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FB1093"/>
    <w:rPr>
      <w:rFonts w:cs="Arial" w:eastAsia="Times New Roman"/>
      <w:b w:val="1"/>
      <w:bCs w:val="1"/>
      <w:caps w:val="1"/>
      <w:color w:val="000000"/>
      <w:sz w:val="24"/>
      <w:szCs w:val="24"/>
    </w:rPr>
  </w:style>
  <w:style w:type="paragraph" w:styleId="Title">
    <w:name w:val="Title"/>
    <w:next w:val="Normal"/>
    <w:link w:val="TitleChar"/>
    <w:uiPriority w:val="1"/>
    <w:qFormat w:val="1"/>
    <w:rsid w:val="00FB1093"/>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FB1093"/>
    <w:rPr>
      <w:rFonts w:cs="Arial" w:eastAsia="Times New Roman"/>
      <w:b w:val="1"/>
      <w:bCs w:val="1"/>
      <w:caps w:val="1"/>
      <w:color w:val="000000"/>
      <w:sz w:val="28"/>
      <w:szCs w:val="28"/>
      <w:lang w:eastAsia="en-US"/>
    </w:rPr>
  </w:style>
  <w:style w:type="paragraph" w:styleId="Bullets2" w:customStyle="1">
    <w:name w:val="Bullets 2"/>
    <w:qFormat w:val="1"/>
    <w:rsid w:val="00FB1093"/>
    <w:pPr>
      <w:numPr>
        <w:ilvl w:val="1"/>
        <w:numId w:val="3"/>
      </w:numPr>
      <w:spacing w:after="60" w:line="260" w:lineRule="atLeast"/>
    </w:pPr>
    <w:rPr>
      <w:rFonts w:eastAsia="Calibri"/>
      <w:szCs w:val="19"/>
    </w:rPr>
  </w:style>
  <w:style w:type="paragraph" w:styleId="Attachment1" w:customStyle="1">
    <w:name w:val="Attachment 1"/>
    <w:next w:val="Attachment2"/>
    <w:qFormat w:val="1"/>
    <w:rsid w:val="00FB1093"/>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FB1093"/>
    <w:pPr>
      <w:spacing w:after="170" w:before="60" w:line="260" w:lineRule="atLeast"/>
    </w:pPr>
    <w:rPr>
      <w:rFonts w:eastAsia="Calibri"/>
      <w:szCs w:val="19"/>
    </w:rPr>
  </w:style>
  <w:style w:type="character" w:styleId="BodyTextChar" w:customStyle="1">
    <w:name w:val="Body Text Char"/>
    <w:link w:val="BodyText"/>
    <w:rsid w:val="00FB1093"/>
    <w:rPr>
      <w:rFonts w:eastAsia="Calibri"/>
      <w:szCs w:val="19"/>
    </w:rPr>
  </w:style>
  <w:style w:type="character" w:styleId="Heading2Char" w:customStyle="1">
    <w:name w:val="Heading 2 Char"/>
    <w:link w:val="Heading2"/>
    <w:rsid w:val="00FB1093"/>
    <w:rPr>
      <w:rFonts w:cs="Arial" w:eastAsia="Times New Roman"/>
      <w:b w:val="1"/>
      <w:bCs w:val="1"/>
      <w:caps w:val="1"/>
      <w:color w:val="000000"/>
      <w:sz w:val="22"/>
      <w:szCs w:val="22"/>
    </w:rPr>
  </w:style>
  <w:style w:type="character" w:styleId="Heading3Char" w:customStyle="1">
    <w:name w:val="Heading 3 Char"/>
    <w:link w:val="Heading3"/>
    <w:rsid w:val="00FB1093"/>
    <w:rPr>
      <w:rFonts w:cs="Arial" w:eastAsia="Times New Roman"/>
      <w:b w:val="1"/>
      <w:bCs w:val="1"/>
      <w:caps w:val="1"/>
      <w:color w:val="000000"/>
    </w:rPr>
  </w:style>
  <w:style w:type="character" w:styleId="Heading4Char" w:customStyle="1">
    <w:name w:val="Heading 4 Char"/>
    <w:link w:val="Heading4"/>
    <w:rsid w:val="00FB1093"/>
    <w:rPr>
      <w:rFonts w:cs="Arial" w:eastAsia="Times New Roman"/>
      <w:b w:val="1"/>
      <w:bCs w:val="1"/>
      <w:color w:val="000000"/>
      <w:szCs w:val="19"/>
    </w:rPr>
  </w:style>
  <w:style w:type="numbering" w:styleId="Bullets" w:customStyle="1">
    <w:name w:val="Bullets"/>
    <w:uiPriority w:val="99"/>
    <w:locked w:val="1"/>
    <w:rsid w:val="00FB1093"/>
    <w:pPr>
      <w:numPr>
        <w:numId w:val="1"/>
      </w:numPr>
    </w:pPr>
  </w:style>
  <w:style w:type="paragraph" w:styleId="Bullets1" w:customStyle="1">
    <w:name w:val="Bullets 1"/>
    <w:qFormat w:val="1"/>
    <w:rsid w:val="00FB1093"/>
    <w:pPr>
      <w:numPr>
        <w:numId w:val="3"/>
      </w:numPr>
      <w:spacing w:after="60" w:line="260" w:lineRule="atLeast"/>
    </w:pPr>
    <w:rPr>
      <w:rFonts w:eastAsia="Calibri"/>
      <w:szCs w:val="19"/>
    </w:rPr>
  </w:style>
  <w:style w:type="paragraph" w:styleId="Header">
    <w:name w:val="header"/>
    <w:basedOn w:val="Normal"/>
    <w:link w:val="HeaderChar"/>
    <w:uiPriority w:val="99"/>
    <w:unhideWhenUsed w:val="1"/>
    <w:rsid w:val="00FB1093"/>
    <w:pPr>
      <w:tabs>
        <w:tab w:val="center" w:pos="4513"/>
        <w:tab w:val="right" w:pos="9026"/>
      </w:tabs>
      <w:spacing w:after="0"/>
    </w:pPr>
  </w:style>
  <w:style w:type="character" w:styleId="HeaderChar" w:customStyle="1">
    <w:name w:val="Header Char"/>
    <w:link w:val="Header"/>
    <w:uiPriority w:val="99"/>
    <w:rsid w:val="00FB1093"/>
    <w:rPr>
      <w:rFonts w:asciiTheme="minorHAnsi" w:cstheme="minorBidi" w:eastAsiaTheme="minorHAnsi" w:hAnsiTheme="minorHAnsi"/>
      <w:sz w:val="22"/>
      <w:szCs w:val="22"/>
      <w:lang w:eastAsia="en-US"/>
    </w:rPr>
  </w:style>
  <w:style w:type="paragraph" w:styleId="Footer">
    <w:name w:val="footer"/>
    <w:basedOn w:val="Normal"/>
    <w:link w:val="FooterChar"/>
    <w:uiPriority w:val="99"/>
    <w:unhideWhenUsed w:val="1"/>
    <w:rsid w:val="00FB1093"/>
    <w:pPr>
      <w:tabs>
        <w:tab w:val="center" w:pos="4513"/>
        <w:tab w:val="right" w:pos="9026"/>
      </w:tabs>
      <w:spacing w:after="0"/>
    </w:pPr>
    <w:rPr>
      <w:rFonts w:cs="Arial"/>
      <w:sz w:val="16"/>
      <w:szCs w:val="16"/>
    </w:rPr>
  </w:style>
  <w:style w:type="character" w:styleId="FooterChar" w:customStyle="1">
    <w:name w:val="Footer Char"/>
    <w:link w:val="Footer"/>
    <w:uiPriority w:val="99"/>
    <w:rsid w:val="00FB1093"/>
    <w:rPr>
      <w:rFonts w:cs="Arial" w:asciiTheme="minorHAnsi" w:eastAsiaTheme="minorHAnsi" w:hAnsiTheme="minorHAnsi"/>
      <w:sz w:val="16"/>
      <w:szCs w:val="16"/>
      <w:lang w:eastAsia="en-US"/>
    </w:rPr>
  </w:style>
  <w:style w:type="table" w:styleId="TableGrid">
    <w:name w:val="Table Grid"/>
    <w:basedOn w:val="TableNormal"/>
    <w:uiPriority w:val="59"/>
    <w:locked w:val="1"/>
    <w:rsid w:val="00FB1093"/>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FB1093"/>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FB1093"/>
    <w:pPr>
      <w:spacing w:after="720"/>
    </w:pPr>
    <w:rPr>
      <w:rFonts w:cs="Arial" w:eastAsia="Times New Roman"/>
      <w:b w:val="1"/>
      <w:bCs w:val="1"/>
      <w:color w:val="000000"/>
      <w:sz w:val="24"/>
      <w:szCs w:val="24"/>
      <w:lang w:eastAsia="en-US"/>
    </w:rPr>
  </w:style>
  <w:style w:type="paragraph" w:styleId="Bullets3" w:customStyle="1">
    <w:name w:val="Bullets 3"/>
    <w:qFormat w:val="1"/>
    <w:rsid w:val="00FB1093"/>
    <w:pPr>
      <w:numPr>
        <w:ilvl w:val="2"/>
        <w:numId w:val="3"/>
      </w:numPr>
      <w:spacing w:after="60" w:line="260" w:lineRule="atLeast"/>
    </w:pPr>
    <w:rPr>
      <w:rFonts w:eastAsia="Calibri"/>
      <w:szCs w:val="19"/>
    </w:rPr>
  </w:style>
  <w:style w:type="paragraph" w:styleId="BodyText3ptAfter" w:customStyle="1">
    <w:name w:val="Body Text 3pt After"/>
    <w:basedOn w:val="BodyText"/>
    <w:qFormat w:val="1"/>
    <w:rsid w:val="00FB1093"/>
    <w:pPr>
      <w:spacing w:after="60"/>
    </w:pPr>
  </w:style>
  <w:style w:type="paragraph" w:styleId="BalloonText">
    <w:name w:val="Balloon Text"/>
    <w:basedOn w:val="Normal"/>
    <w:link w:val="BalloonTextChar"/>
    <w:uiPriority w:val="99"/>
    <w:semiHidden w:val="1"/>
    <w:unhideWhenUsed w:val="1"/>
    <w:rsid w:val="00FB1093"/>
    <w:pPr>
      <w:spacing w:after="0"/>
    </w:pPr>
    <w:rPr>
      <w:rFonts w:ascii="Tahoma" w:cs="Tahoma" w:hAnsi="Tahoma"/>
      <w:sz w:val="16"/>
      <w:szCs w:val="16"/>
    </w:rPr>
  </w:style>
  <w:style w:type="character" w:styleId="BalloonTextChar" w:customStyle="1">
    <w:name w:val="Balloon Text Char"/>
    <w:link w:val="BalloonText"/>
    <w:uiPriority w:val="99"/>
    <w:semiHidden w:val="1"/>
    <w:rsid w:val="00FB1093"/>
    <w:rPr>
      <w:rFonts w:ascii="Tahoma" w:cs="Tahoma" w:hAnsi="Tahoma" w:eastAsiaTheme="minorHAnsi"/>
      <w:sz w:val="16"/>
      <w:szCs w:val="16"/>
      <w:lang w:eastAsia="en-US"/>
    </w:rPr>
  </w:style>
  <w:style w:type="character" w:styleId="Hyperlink">
    <w:name w:val="Hyperlink"/>
    <w:uiPriority w:val="99"/>
    <w:unhideWhenUsed w:val="1"/>
    <w:rsid w:val="00FB1093"/>
    <w:rPr>
      <w:color w:val="0000ff"/>
      <w:u w:val="single"/>
    </w:rPr>
  </w:style>
  <w:style w:type="paragraph" w:styleId="FootnoteText">
    <w:name w:val="footnote text"/>
    <w:basedOn w:val="Normal"/>
    <w:link w:val="FootnoteTextChar"/>
    <w:uiPriority w:val="99"/>
    <w:unhideWhenUsed w:val="1"/>
    <w:rsid w:val="00A41CE1"/>
    <w:pPr>
      <w:tabs>
        <w:tab w:val="left" w:pos="142"/>
      </w:tabs>
      <w:spacing w:after="0"/>
      <w:ind w:left="142" w:hanging="142"/>
    </w:pPr>
    <w:rPr>
      <w:rFonts w:ascii="Arial" w:eastAsia="Times New Roman" w:hAnsi="Arial"/>
      <w:snapToGrid w:val="0"/>
      <w:sz w:val="16"/>
      <w:szCs w:val="20"/>
    </w:rPr>
  </w:style>
  <w:style w:type="character" w:styleId="FootnoteTextChar" w:customStyle="1">
    <w:name w:val="Footnote Text Char"/>
    <w:link w:val="FootnoteText"/>
    <w:uiPriority w:val="99"/>
    <w:rsid w:val="00A41CE1"/>
    <w:rPr>
      <w:rFonts w:eastAsia="Times New Roman" w:cstheme="minorBidi"/>
      <w:snapToGrid w:val="0"/>
      <w:sz w:val="16"/>
      <w:lang w:eastAsia="en-US"/>
    </w:rPr>
  </w:style>
  <w:style w:type="character" w:styleId="FootnoteReference">
    <w:name w:val="footnote reference"/>
    <w:uiPriority w:val="99"/>
    <w:semiHidden w:val="1"/>
    <w:unhideWhenUsed w:val="1"/>
    <w:rsid w:val="00FB1093"/>
    <w:rPr>
      <w:vertAlign w:val="superscript"/>
    </w:rPr>
  </w:style>
  <w:style w:type="paragraph" w:styleId="AttachmentNumberedHeading1" w:customStyle="1">
    <w:name w:val="Attachment Numbered Heading 1"/>
    <w:qFormat w:val="1"/>
    <w:rsid w:val="00FB1093"/>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FB1093"/>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FB1093"/>
    <w:pPr>
      <w:numPr>
        <w:numId w:val="11"/>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FB1093"/>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FB1093"/>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FB1093"/>
    <w:pPr>
      <w:spacing w:before="170"/>
    </w:pPr>
  </w:style>
  <w:style w:type="paragraph" w:styleId="Copy" w:customStyle="1">
    <w:name w:val="Copy"/>
    <w:basedOn w:val="Normal"/>
    <w:next w:val="Normal"/>
    <w:uiPriority w:val="99"/>
    <w:rsid w:val="00FB1093"/>
    <w:pPr>
      <w:widowControl w:val="0"/>
      <w:suppressAutoHyphens w:val="1"/>
      <w:autoSpaceDE w:val="0"/>
      <w:autoSpaceDN w:val="0"/>
      <w:adjustRightInd w:val="0"/>
      <w:spacing w:after="142" w:line="260" w:lineRule="atLeast"/>
      <w:textAlignment w:val="center"/>
    </w:pPr>
    <w:rPr>
      <w:rFonts w:ascii="ArialMT" w:cs="ArialMT" w:eastAsia="Times New Roman" w:hAnsi="ArialMT"/>
      <w:color w:val="000000"/>
      <w:lang w:val="en-GB"/>
    </w:rPr>
  </w:style>
  <w:style w:type="character" w:styleId="Copyital" w:customStyle="1">
    <w:name w:val="Copy_ital"/>
    <w:uiPriority w:val="99"/>
    <w:rsid w:val="00FB1093"/>
    <w:rPr>
      <w:i w:val="1"/>
      <w:iCs w:val="1"/>
    </w:rPr>
  </w:style>
  <w:style w:type="paragraph" w:styleId="EndnoteText">
    <w:name w:val="endnote text"/>
    <w:basedOn w:val="Normal"/>
    <w:link w:val="EndnoteTextChar"/>
    <w:uiPriority w:val="99"/>
    <w:unhideWhenUsed w:val="1"/>
    <w:rsid w:val="00FB1093"/>
    <w:pPr>
      <w:spacing w:after="0"/>
    </w:pPr>
    <w:rPr>
      <w:rFonts w:eastAsia="Times New Roman"/>
      <w:snapToGrid w:val="0"/>
      <w:sz w:val="20"/>
      <w:szCs w:val="20"/>
    </w:rPr>
  </w:style>
  <w:style w:type="character" w:styleId="EndnoteTextChar" w:customStyle="1">
    <w:name w:val="Endnote Text Char"/>
    <w:link w:val="EndnoteText"/>
    <w:uiPriority w:val="99"/>
    <w:rsid w:val="00FB1093"/>
    <w:rPr>
      <w:rFonts w:eastAsia="Times New Roman" w:asciiTheme="minorHAnsi" w:cstheme="minorBidi" w:hAnsiTheme="minorHAnsi"/>
      <w:snapToGrid w:val="0"/>
      <w:lang w:eastAsia="en-US"/>
    </w:rPr>
  </w:style>
  <w:style w:type="character" w:styleId="EndnoteReference">
    <w:name w:val="endnote reference"/>
    <w:uiPriority w:val="99"/>
    <w:semiHidden w:val="1"/>
    <w:unhideWhenUsed w:val="1"/>
    <w:rsid w:val="00FB1093"/>
    <w:rPr>
      <w:vertAlign w:val="superscript"/>
    </w:rPr>
  </w:style>
  <w:style w:type="paragraph" w:styleId="SignatureLine" w:customStyle="1">
    <w:name w:val="Signature Line"/>
    <w:basedOn w:val="BodyText"/>
    <w:qFormat w:val="1"/>
    <w:rsid w:val="00FB1093"/>
    <w:pPr>
      <w:tabs>
        <w:tab w:val="right" w:leader="underscore" w:pos="4253"/>
        <w:tab w:val="left" w:pos="4522"/>
        <w:tab w:val="left" w:leader="underscore" w:pos="7796"/>
      </w:tabs>
      <w:spacing w:after="60" w:before="240"/>
    </w:pPr>
  </w:style>
  <w:style w:type="paragraph" w:styleId="SubHeading" w:customStyle="1">
    <w:name w:val="Sub Heading"/>
    <w:basedOn w:val="Normal"/>
    <w:rsid w:val="00FB1093"/>
    <w:pPr>
      <w:spacing w:after="40" w:before="80" w:line="280" w:lineRule="atLeast"/>
    </w:pPr>
    <w:rPr>
      <w:rFonts w:cs="Tms Rmn" w:eastAsia="Times New Roman"/>
      <w:b w:val="1"/>
      <w:snapToGrid w:val="0"/>
    </w:rPr>
  </w:style>
  <w:style w:type="paragraph" w:styleId="Policylist1" w:customStyle="1">
    <w:name w:val="Policy list 1"/>
    <w:aliases w:val="2,3"/>
    <w:basedOn w:val="Normal"/>
    <w:qFormat w:val="1"/>
    <w:rsid w:val="00FB1093"/>
    <w:pPr>
      <w:numPr>
        <w:numId w:val="15"/>
      </w:numPr>
      <w:spacing w:after="60" w:before="170" w:line="260" w:lineRule="atLeast"/>
      <w:ind w:left="227" w:hanging="227"/>
    </w:pPr>
    <w:rPr>
      <w:rFonts w:cs="Tms Rmn" w:eastAsia="Times New Roman"/>
      <w:snapToGrid w:val="0"/>
      <w:sz w:val="20"/>
      <w:szCs w:val="20"/>
      <w:lang w:val="en-US"/>
    </w:rPr>
  </w:style>
  <w:style w:type="paragraph" w:styleId="SignatureCaption" w:customStyle="1">
    <w:name w:val="Signature Caption"/>
    <w:basedOn w:val="BodyText"/>
    <w:qFormat w:val="1"/>
    <w:rsid w:val="00FB1093"/>
    <w:pPr>
      <w:tabs>
        <w:tab w:val="left" w:pos="4536"/>
      </w:tabs>
    </w:pPr>
    <w:rPr>
      <w:rFonts w:eastAsia="Arial"/>
    </w:rPr>
  </w:style>
  <w:style w:type="paragraph" w:styleId="AlphaList" w:customStyle="1">
    <w:name w:val="Alpha List"/>
    <w:qFormat w:val="1"/>
    <w:rsid w:val="00FB1093"/>
    <w:pPr>
      <w:numPr>
        <w:numId w:val="17"/>
      </w:numPr>
      <w:spacing w:after="60" w:line="260" w:lineRule="atLeast"/>
    </w:pPr>
    <w:rPr>
      <w:rFonts w:eastAsia="Calibri"/>
      <w:szCs w:val="19"/>
    </w:rPr>
  </w:style>
  <w:style w:type="paragraph" w:styleId="AlphaList2" w:customStyle="1">
    <w:name w:val="Alpha List 2"/>
    <w:qFormat w:val="1"/>
    <w:rsid w:val="00FB1093"/>
    <w:pPr>
      <w:numPr>
        <w:ilvl w:val="1"/>
        <w:numId w:val="17"/>
      </w:numPr>
      <w:spacing w:after="60" w:line="260" w:lineRule="atLeast"/>
    </w:pPr>
    <w:rPr>
      <w:rFonts w:eastAsia="Calibri"/>
      <w:szCs w:val="19"/>
    </w:rPr>
  </w:style>
  <w:style w:type="paragraph" w:styleId="GreyBoxtext" w:customStyle="1">
    <w:name w:val="Grey Box text"/>
    <w:qFormat w:val="1"/>
    <w:rsid w:val="00FB1093"/>
    <w:pPr>
      <w:spacing w:line="260" w:lineRule="atLeast"/>
    </w:pPr>
    <w:rPr>
      <w:rFonts w:eastAsia="Calibri"/>
      <w:sz w:val="19"/>
      <w:szCs w:val="19"/>
      <w:lang w:eastAsia="en-US"/>
    </w:rPr>
  </w:style>
  <w:style w:type="character" w:styleId="CommentReference">
    <w:name w:val="annotation reference"/>
    <w:basedOn w:val="DefaultParagraphFont"/>
    <w:uiPriority w:val="99"/>
    <w:semiHidden w:val="1"/>
    <w:unhideWhenUsed w:val="1"/>
    <w:rsid w:val="00FB1093"/>
    <w:rPr>
      <w:sz w:val="16"/>
      <w:szCs w:val="16"/>
    </w:rPr>
  </w:style>
  <w:style w:type="paragraph" w:styleId="CommentText">
    <w:name w:val="annotation text"/>
    <w:basedOn w:val="Normal"/>
    <w:link w:val="CommentTextChar"/>
    <w:uiPriority w:val="99"/>
    <w:semiHidden w:val="1"/>
    <w:unhideWhenUsed w:val="1"/>
    <w:rsid w:val="00FB1093"/>
    <w:rPr>
      <w:sz w:val="20"/>
      <w:szCs w:val="20"/>
    </w:rPr>
  </w:style>
  <w:style w:type="character" w:styleId="CommentTextChar" w:customStyle="1">
    <w:name w:val="Comment Text Char"/>
    <w:basedOn w:val="DefaultParagraphFont"/>
    <w:link w:val="CommentText"/>
    <w:uiPriority w:val="99"/>
    <w:semiHidden w:val="1"/>
    <w:rsid w:val="00FB1093"/>
    <w:rPr>
      <w:rFonts w:asciiTheme="minorHAnsi" w:cstheme="minorBidi" w:eastAsiaTheme="minorHAnsi" w:hAnsiTheme="minorHAnsi"/>
      <w:lang w:eastAsia="en-US"/>
    </w:rPr>
  </w:style>
  <w:style w:type="paragraph" w:styleId="CommentSubject">
    <w:name w:val="annotation subject"/>
    <w:basedOn w:val="CommentText"/>
    <w:next w:val="CommentText"/>
    <w:link w:val="CommentSubjectChar"/>
    <w:uiPriority w:val="99"/>
    <w:semiHidden w:val="1"/>
    <w:unhideWhenUsed w:val="1"/>
    <w:rsid w:val="00FB1093"/>
    <w:rPr>
      <w:b w:val="1"/>
      <w:bCs w:val="1"/>
    </w:rPr>
  </w:style>
  <w:style w:type="character" w:styleId="CommentSubjectChar" w:customStyle="1">
    <w:name w:val="Comment Subject Char"/>
    <w:basedOn w:val="CommentTextChar"/>
    <w:link w:val="CommentSubject"/>
    <w:uiPriority w:val="99"/>
    <w:semiHidden w:val="1"/>
    <w:rsid w:val="00FB1093"/>
    <w:rPr>
      <w:rFonts w:asciiTheme="minorHAnsi" w:cstheme="minorBidi" w:eastAsiaTheme="minorHAnsi" w:hAnsiTheme="minorHAnsi"/>
      <w:b w:val="1"/>
      <w:bCs w:val="1"/>
      <w:lang w:eastAsia="en-US"/>
    </w:rPr>
  </w:style>
  <w:style w:type="character" w:styleId="FollowedHyperlink">
    <w:name w:val="FollowedHyperlink"/>
    <w:basedOn w:val="DefaultParagraphFont"/>
    <w:uiPriority w:val="99"/>
    <w:semiHidden w:val="1"/>
    <w:unhideWhenUsed w:val="1"/>
    <w:rsid w:val="00FB1093"/>
    <w:rPr>
      <w:color w:val="800080" w:themeColor="followedHyperlink"/>
      <w:u w:val="single"/>
    </w:rPr>
  </w:style>
  <w:style w:type="paragraph" w:styleId="ListParagraph">
    <w:name w:val="List Paragraph"/>
    <w:basedOn w:val="Normal"/>
    <w:uiPriority w:val="34"/>
    <w:qFormat w:val="1"/>
    <w:rsid w:val="00FB1093"/>
    <w:pPr>
      <w:ind w:left="720"/>
      <w:contextualSpacing w:val="1"/>
    </w:pPr>
    <w:rPr>
      <w:rFonts w:ascii="Corbel" w:hAnsi="Corbel"/>
    </w:rPr>
  </w:style>
  <w:style w:type="paragraph" w:styleId="Revision">
    <w:name w:val="Revision"/>
    <w:hidden w:val="1"/>
    <w:uiPriority w:val="99"/>
    <w:semiHidden w:val="1"/>
    <w:rsid w:val="00FB1093"/>
    <w:rPr>
      <w:rFonts w:asciiTheme="minorHAnsi" w:cstheme="minorBidi" w:eastAsiaTheme="minorHAnsi" w:hAnsiTheme="minorHAnsi"/>
      <w:sz w:val="22"/>
      <w:szCs w:val="22"/>
      <w:lang w:eastAsia="en-US"/>
    </w:rPr>
  </w:style>
  <w:style w:type="character" w:styleId="UnresolvedMention" w:customStyle="1">
    <w:name w:val="Unresolved Mention"/>
    <w:basedOn w:val="DefaultParagraphFont"/>
    <w:uiPriority w:val="99"/>
    <w:semiHidden w:val="1"/>
    <w:unhideWhenUsed w:val="1"/>
    <w:rsid w:val="0095539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cecqa.gov.au" TargetMode="Externa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 Id="rId11" Type="http://schemas.openxmlformats.org/officeDocument/2006/relationships/hyperlink" Target="http://www.acecqa.gov.au" TargetMode="External"/><Relationship Id="rId10" Type="http://schemas.openxmlformats.org/officeDocument/2006/relationships/hyperlink" Target="http://www.vmia.vic.gov.au" TargetMode="External"/><Relationship Id="rId13" Type="http://schemas.openxmlformats.org/officeDocument/2006/relationships/hyperlink" Target="http://www.asthmaaustralia.org.au" TargetMode="External"/><Relationship Id="rId12" Type="http://schemas.openxmlformats.org/officeDocument/2006/relationships/hyperlink" Target="http://www.allergyfacts.org.au" TargetMode="External"/><Relationship Id="rId15" Type="http://schemas.openxmlformats.org/officeDocument/2006/relationships/hyperlink" Target="http://www.acecqa.gov.au" TargetMode="External"/><Relationship Id="rId14" Type="http://schemas.openxmlformats.org/officeDocument/2006/relationships/hyperlink" Target="http://www.healthdirect.gov.au" TargetMode="External"/><Relationship Id="rId17" Type="http://schemas.openxmlformats.org/officeDocument/2006/relationships/hyperlink" Target="https://www.coronavirus.vic.gov.au/managing-unwell-child-or-staff-member" TargetMode="External"/><Relationship Id="rId16" Type="http://schemas.openxmlformats.org/officeDocument/2006/relationships/image" Target="media/image3.png"/><Relationship Id="rId19" Type="http://schemas.openxmlformats.org/officeDocument/2006/relationships/hyperlink" Target="https://www.rch.org.au/kidsinfo/fact_sheets/Pain_relief_for_children/" TargetMode="External"/><Relationship Id="rId18" Type="http://schemas.openxmlformats.org/officeDocument/2006/relationships/hyperlink" Target="https://www.rch.org.au/kidsinfo/fact_sheets/Fever_in_childr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oHuBtxgus7t7SLfRR0LqI8nJKw==">CgMxLjAyCGguZ2pkZ3hzOABqJAoUc3VnZ2VzdC5zdjU1YmRmN2FsdnASDEtpbSBCcm9kcmliYmomChRzdWdnZXN0LjN2MXkza3g1YXJxbxIOUG9saWN5IE9mZmljZXJyITEtMTNWQkRmMlpMSjdvYnFrbU1ydEJkazFKNVQxTjI2bg==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2021-03-02T05:28:00Z</dcterms:created>
  <dc:creator>ELAALaptop3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mpany">
    <vt:lpwstr>Company</vt:lpwstr>
  </property>
  <property fmtid="{D5CDD505-2E9C-101B-9397-08002B2CF9AE}" pid="4" name="xPolicyName">
    <vt:lpwstr>Policy name</vt:lpwstr>
  </property>
</Properties>
</file>