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Curriculum Development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1</w:t>
      </w:r>
    </w:p>
    <w:p w:rsidR="00000000" w:rsidDel="00000000" w:rsidP="00000000" w:rsidRDefault="00000000" w:rsidRPr="00000000" w14:paraId="00000003">
      <w:pPr>
        <w:pStyle w:val="Heading1"/>
        <w:rPr/>
      </w:pPr>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 that the educational program (curriculum) and practice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an approved learning framework</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underpinned by critical reflection and careful planning</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stimulating, engaging and enhances children’s learning and development.</w:t>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educational program that is based on reflective practice, critical analysis and planning</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each child to achieve learning outcomes consistent with the national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and/or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educational program where children can learn through play and are supported to make decisions, problem-solve and build relationships with others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environment that supports, reflects and promotes equitable and inclusive behaviours and practices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involving families in the development and review of educational program and practice.</w:t>
      </w:r>
    </w:p>
    <w:p w:rsidR="00000000" w:rsidDel="00000000" w:rsidP="00000000" w:rsidRDefault="00000000" w:rsidRPr="00000000" w14:paraId="00000010">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or Control, Nominated Supervisor, Persons in day to day charge, educators, staff, students on placement, volunteers,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3">
      <w:pPr>
        <w:pStyle w:val="Heading4"/>
        <w:rPr/>
      </w:pPr>
      <w:r w:rsidDel="00000000" w:rsidR="00000000" w:rsidRPr="00000000">
        <w:rPr>
          <w:rtl w:val="0"/>
        </w:rPr>
        <w:t xml:space="preserve">Background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Law)</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requires services to deliver an educational program (curriculum) that is based on an approved learning framework. In Victoria, approved learning frameworks for the early childhood sector are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(Belonging, Being &amp; Becoming)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documents are underpinned by practices and principles that encourage reflection and provide educators with a thorough understanding of the pedagogy of early childhood curriculum in a contemporary context.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4.1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Regulations require the appointment of an Educational Leader to lead the development and implementation of the educational program (or curriculum) at the service (Regulation 118). This person will have suitable qualifications and experience, as well as a thorough understanding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and/or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enabling them to guide other educators in planning and reflection, and to mentor colleagues in implementation practices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p85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linked to the approved learning frameworks. Quality Area 1: Educational Program and Practice focuses on “enhancing children’s learning and development through the: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pedagogical practices of educators and co-ordinators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of programs that promote children’s learning across five learning outcomes” </w:t>
        <w:br w:type="textWrapping"/>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educational program must also be underpinned by the service’s philosophy.</w:t>
      </w:r>
    </w:p>
    <w:p w:rsidR="00000000" w:rsidDel="00000000" w:rsidP="00000000" w:rsidRDefault="00000000" w:rsidRPr="00000000" w14:paraId="0000001B">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168, 301(3)(d), 323</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73–76, 118, 148</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 1: Educational Program and Practice</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1.1: The educational program enhances each child’s learning and development</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1.2: Educators facilitate and extend each child’s learning and development</w:t>
      </w:r>
    </w:p>
    <w:p w:rsidR="00000000" w:rsidDel="00000000" w:rsidP="00000000" w:rsidRDefault="00000000" w:rsidRPr="00000000" w14:paraId="00000022">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document that outlines practices that educators and co-ordinators must use to support and promote children’s learning.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(Belonging, Being &amp; Becoming)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approved learning frameworks for use in Victoria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Critical reflection: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Reflective practices that focus on implications for equity and social justice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interactions, experiences, activities, routines and events, planned and unplanned, that occur in an environment designed to foster children’s learning and development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adapted from Te Whariki).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child: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phrase used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individualised approach is warranted and educators are required to modify their response to meet the needs of an individual child. An example is ‘each child’s current knowledge, ideas, culture and interests provide the foundation for the program’.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Educational Leader: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of an education and care service must designate, in writing, a suitably qualified and experienced educator, co-ordinator or other individual to lead the development and implementation of educational programs at the service (Regulation 118). This person must have a thorough understanding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other approved learning framework), be able to guide other educators in their planning and reflection, and mentor colleagues in the implementation of their practice.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natural process of exploration that children engage in from birth, as they expand their intellectual, physical, social, emotional and creative capacities. Early learning is closely linked to early development.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outcome: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skill, knowledge or disposition that educators can actively promote in early childhood settings, in collaboration with children and families.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relationships: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that further children’s learning and development. Both adult and child have intent to learn from one another.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Play-based learning: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context for learning through which children organise and make sense of their social world as they engage actively with people, objects and representations.</w:t>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2F">
      <w:pPr>
        <w:pStyle w:val="Heading4"/>
        <w:rPr/>
      </w:pPr>
      <w:r w:rsidDel="00000000" w:rsidR="00000000" w:rsidRPr="00000000">
        <w:rPr>
          <w:rtl w:val="0"/>
        </w:rPr>
        <w:t xml:space="preserve">Sources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Educators’ Guide to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Professional Learning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www.earlychildhoodaustralia.org.au/nqsplp</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Resources for Professionals: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https://www.education.vic.gov.au/childhood/professionals/learning/Pages/veyldf.aspx</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Marrung – Aboriginal Education Plan 2016 – 2026</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Roboto" w:cs="Roboto" w:eastAsia="Roboto" w:hAnsi="Roboto"/>
            <w:color w:val="0b57d0"/>
            <w:sz w:val="21"/>
            <w:szCs w:val="21"/>
            <w:highlight w:val="white"/>
            <w:rtl w:val="0"/>
          </w:rPr>
          <w:t xml:space="preserve">https://www.vic.gov.au/marrung</w:t>
        </w:r>
      </w:hyperlink>
      <w:r w:rsidDel="00000000" w:rsidR="00000000" w:rsidRPr="00000000">
        <w:rPr>
          <w:rFonts w:ascii="Roboto" w:cs="Roboto" w:eastAsia="Roboto" w:hAnsi="Roboto"/>
          <w:color w:val="444746"/>
          <w:sz w:val="21"/>
          <w:szCs w:val="21"/>
          <w:highlight w:val="white"/>
          <w:rtl w:val="0"/>
        </w:rPr>
        <w:t xml:space="preserve">   </w:t>
      </w:r>
      <w:r w:rsidDel="00000000" w:rsidR="00000000" w:rsidRPr="00000000">
        <w:rPr>
          <w:rtl w:val="0"/>
        </w:rPr>
      </w:r>
    </w:p>
    <w:p w:rsidR="00000000" w:rsidDel="00000000" w:rsidP="00000000" w:rsidRDefault="00000000" w:rsidRPr="00000000" w14:paraId="00000038">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p>
    <w:p w:rsidR="00000000" w:rsidDel="00000000" w:rsidP="00000000" w:rsidRDefault="00000000" w:rsidRPr="00000000" w14:paraId="00000043">
      <w:pPr>
        <w:pStyle w:val="Heading1"/>
        <w:rPr/>
      </w:pPr>
      <w:r w:rsidDel="00000000" w:rsidR="00000000" w:rsidRPr="00000000">
        <w:rPr>
          <w:rtl w:val="0"/>
        </w:rPr>
        <w:t xml:space="preserve">Procedures</w:t>
      </w:r>
    </w:p>
    <w:p w:rsidR="00000000" w:rsidDel="00000000" w:rsidP="00000000" w:rsidRDefault="00000000" w:rsidRPr="00000000" w14:paraId="00000044">
      <w:pPr>
        <w:pStyle w:val="Heading4"/>
        <w:rPr/>
      </w:pPr>
      <w:r w:rsidDel="00000000" w:rsidR="00000000" w:rsidRPr="00000000">
        <w:rPr>
          <w:rtl w:val="0"/>
        </w:rPr>
        <w:t xml:space="preserve">The Approved Provider and persons with management or control are responsible for:</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educational program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(Section 168)</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developmental needs, interests and experiences, and the individual differences of each child are accommodated in the educational program (Section 168)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educational program contributes to each child:</w:t>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 strong sense of identity</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connected with, and contributing to, his or her world</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 strong sense of wellbeing</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 confident and involved learner</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an effective communicator (Regulation 73)</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designating a suitably qualified and experienced Educational Leader to direct the development and implementation of educational programs at the service (Regulation 118)</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staff record includes the name of the Educational Leader at the service </w:t>
        <w:br w:type="textWrapping"/>
        <w:t xml:space="preserve">(Regulation 148)</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philosophy guides educational program and practice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assessments of the child’s developmental needs, interests, experiences and participation in the educational program are documented (Regulation 74(1)(a)(i))</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assessments of the child’s progress against the outcomes of the educational program are documented (Regulation 74(1)(a)(ii))</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documentation of assessments includes reflection on the period of time the child is at the service, and how documented information will be used by educators at the service (Regulation 74(2)(a)(i)&amp;(ii))</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documentation is written in plain language and is easy to understand by both educators and parents/guardians (Regulation 74(2)(b))</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copy of the educational program is displayed at the service and accessible to parents/guardians (Regulation 75)</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provided with information about the content and implementation of the educational program, their child’s participation in the program and documentation relating to assessments or evaluations of their child (Regulation 76)</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Nominated Supervisor, educators, children and families.</w:t>
      </w:r>
    </w:p>
    <w:p w:rsidR="00000000" w:rsidDel="00000000" w:rsidP="00000000" w:rsidRDefault="00000000" w:rsidRPr="00000000" w14:paraId="00000057">
      <w:pPr>
        <w:pStyle w:val="Heading4"/>
        <w:spacing w:before="170" w:lineRule="auto"/>
        <w:rPr/>
      </w:pPr>
      <w:r w:rsidDel="00000000" w:rsidR="00000000" w:rsidRPr="00000000">
        <w:rPr>
          <w:rtl w:val="0"/>
        </w:rPr>
        <w:t xml:space="preserve">The Nominated Supervisor and Persons in Day to Day Charge are responsible for:</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educational program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(Section 168)</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developmental needs, interests and experiences, and the individual differences of each child are accommodated in the educational program (Section 168) (refer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 copy of the educational program at the service in a location accessible to parents/guardians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learning and development is assessed as part of an ongoing cycle of planning, documentation and evaluation</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record of learning and development for each child, and that it is updated and maintained on an ongoing basis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Approved Provider, educators, children and families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regular communication is established between the service and parents/guardians in relation to their child's learning and development.</w:t>
      </w:r>
      <w:r w:rsidDel="00000000" w:rsidR="00000000" w:rsidRPr="00000000">
        <w:rPr>
          <w:rtl w:val="0"/>
        </w:rPr>
      </w:r>
    </w:p>
    <w:p w:rsidR="00000000" w:rsidDel="00000000" w:rsidP="00000000" w:rsidRDefault="00000000" w:rsidRPr="00000000" w14:paraId="0000005F">
      <w:pPr>
        <w:pStyle w:val="Heading4"/>
        <w:spacing w:before="170" w:lineRule="auto"/>
        <w:rPr/>
      </w:pPr>
      <w:r w:rsidDel="00000000" w:rsidR="00000000" w:rsidRPr="00000000">
        <w:rPr>
          <w:rtl w:val="0"/>
        </w:rPr>
        <w:t xml:space="preserve">Educators and other staff are responsible for:</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an educational program that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developmental needs, interests and experiences, and the individual differences of each child in the educational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and documenting each child’s needs, interests, experiences, participation and progress in relation to the educational program in a way that is easy to understand for parents/guardians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information available to parents/guardians about their child’s participation in the educational program</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parents/guardians in relation to their child’s learning and development</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Approved Provider, Nominated Supervisor, children and families.</w:t>
      </w:r>
    </w:p>
    <w:p w:rsidR="00000000" w:rsidDel="00000000" w:rsidP="00000000" w:rsidRDefault="00000000" w:rsidRPr="00000000" w14:paraId="00000066">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the service in relation to their child’s learning and development</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input to the development of the educational program in collaboration with the Approved Provider, Nominated Supervisor, educators and children.</w:t>
      </w:r>
    </w:p>
    <w:p w:rsidR="00000000" w:rsidDel="00000000" w:rsidP="00000000" w:rsidRDefault="00000000" w:rsidRPr="00000000" w14:paraId="00000069">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6A">
      <w:pPr>
        <w:pStyle w:val="Heading1"/>
        <w:rPr/>
      </w:pPr>
      <w:r w:rsidDel="00000000" w:rsidR="00000000" w:rsidRPr="00000000">
        <w:rPr>
          <w:rtl w:val="0"/>
        </w:rPr>
        <w:t xml:space="preserve">Evaluation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Attachments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73">
      <w:pPr>
        <w:pStyle w:val="Heading1"/>
        <w:rPr/>
      </w:pPr>
      <w:r w:rsidDel="00000000" w:rsidR="00000000" w:rsidRPr="00000000">
        <w:rPr>
          <w:rtl w:val="0"/>
        </w:rPr>
        <w:t xml:space="preserve">Authorisation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w:t>
      </w:r>
      <w:r w:rsidDel="00000000" w:rsidR="00000000" w:rsidRPr="00000000">
        <w:rPr>
          <w:sz w:val="20"/>
          <w:szCs w:val="20"/>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20</w:t>
      </w:r>
      <w:r w:rsidDel="00000000" w:rsidR="00000000" w:rsidRPr="00000000">
        <w:rPr>
          <w:sz w:val="20"/>
          <w:szCs w:val="20"/>
          <w:rtl w:val="0"/>
        </w:rPr>
        <w:t xml:space="preserve">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Review date:    </w:t>
      </w:r>
      <w:r w:rsidDel="00000000" w:rsidR="00000000" w:rsidRPr="00000000">
        <w:rPr>
          <w:b w:val="0"/>
          <w:rtl w:val="0"/>
        </w:rPr>
        <w:t xml:space="preserve">March 2027</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sz w:val="16"/>
        <w:szCs w:val="16"/>
      </w:rPr>
    </w:pPr>
    <w:r w:rsidDel="00000000" w:rsidR="00000000" w:rsidRPr="00000000">
      <w:rPr>
        <w:sz w:val="16"/>
        <w:szCs w:val="16"/>
        <w:rtl w:val="0"/>
      </w:rPr>
      <w:t xml:space="preserve">© Woodridge Pre-School 2024</w:t>
    </w:r>
  </w:p>
  <w:tbl>
    <w:tblPr>
      <w:tblStyle w:val="Table1"/>
      <w:tblW w:w="9070.0" w:type="dxa"/>
      <w:jc w:val="left"/>
      <w:tblBorders>
        <w:top w:color="000000" w:space="0" w:sz="4" w:val="single"/>
      </w:tblBorders>
      <w:tblLayout w:type="fixed"/>
      <w:tblLook w:val="0400"/>
    </w:tblPr>
    <w:tblGrid>
      <w:gridCol w:w="4533"/>
      <w:gridCol w:w="4537"/>
      <w:tblGridChange w:id="0">
        <w:tblGrid>
          <w:gridCol w:w="4533"/>
          <w:gridCol w:w="4537"/>
        </w:tblGrid>
      </w:tblGridChange>
    </w:tblGrid>
    <w:tr>
      <w:trPr>
        <w:cantSplit w:val="0"/>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2019 Early Learning Association Australia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Curriculum Development Policy (July 2019)</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leader="none" w:pos="4513"/>
        <w:tab w:val="right" w:leader="none" w:pos="9026"/>
      </w:tabs>
      <w:jc w:val="right"/>
      <w:rPr>
        <w:i w:val="1"/>
        <w:sz w:val="22"/>
        <w:szCs w:val="22"/>
      </w:rPr>
    </w:pPr>
    <w:bookmarkStart w:colFirst="0" w:colLast="0" w:name="_heading=h.gjdgxs" w:id="0"/>
    <w:bookmarkEnd w:id="0"/>
    <w:r w:rsidDel="00000000" w:rsidR="00000000" w:rsidRPr="00000000">
      <w:rPr>
        <w:i w:val="1"/>
      </w:rPr>
      <w:drawing>
        <wp:inline distB="0" distT="0" distL="0" distR="0">
          <wp:extent cx="695325" cy="6858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3"/>
                              <w:vertAlign w:val="baseline"/>
                            </w:rPr>
                            <w:t xml:space="preserve">woodridge.kin@kinderga</w:t>
                          </w:r>
                          <w:r w:rsidDel="00000000" w:rsidR="00000000" w:rsidRPr="00000000">
                            <w:rPr>
                              <w:rFonts w:ascii="Arial" w:cs="Arial" w:eastAsia="Arial" w:hAnsi="Arial"/>
                              <w:b w:val="0"/>
                              <w:i w:val="0"/>
                              <w:smallCaps w:val="0"/>
                              <w:strike w:val="0"/>
                              <w:color w:val="000000"/>
                              <w:sz w:val="13"/>
                              <w:vertAlign w:val="baseline"/>
                            </w:rPr>
                            <w:t xml:space="preserve">r</w:t>
                          </w:r>
                          <w:r w:rsidDel="00000000" w:rsidR="00000000" w:rsidRPr="00000000">
                            <w:rPr>
                              <w:rFonts w:ascii="Arial" w:cs="Arial" w:eastAsia="Arial" w:hAnsi="Arial"/>
                              <w:b w:val="0"/>
                              <w:i w:val="0"/>
                              <w:smallCaps w:val="0"/>
                              <w:strike w:val="0"/>
                              <w:color w:val="000000"/>
                              <w:sz w:val="13"/>
                              <w:vertAlign w:val="baseline"/>
                            </w:rPr>
                            <w:t xml:space="preserve">ten.vic.gov.au</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vertAlign w:val="baseline"/>
                            </w:rPr>
                          </w:r>
                          <w:r w:rsidDel="00000000" w:rsidR="00000000" w:rsidRPr="00000000">
                            <w:rPr>
                              <w:rFonts w:ascii="Arial" w:cs="Arial" w:eastAsia="Arial" w:hAnsi="Arial"/>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5477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37226C"/>
    <w:pPr>
      <w:keepNext w:val="1"/>
      <w:spacing w:after="60" w:before="140" w:line="230" w:lineRule="atLeast"/>
      <w:outlineLvl w:val="3"/>
    </w:pPr>
    <w:rPr>
      <w:rFonts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2071F5"/>
    <w:rPr>
      <w:rFonts w:eastAsia="Times New Roman"/>
      <w:b w:val="1"/>
      <w:bCs w:val="1"/>
      <w:caps w:val="1"/>
      <w:color w:val="000000"/>
      <w:sz w:val="28"/>
      <w:szCs w:val="28"/>
      <w:lang w:bidi="ar-SA"/>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style>
  <w:style w:type="character" w:styleId="BodyTextChar" w:customStyle="1">
    <w:name w:val="Body Text Char"/>
    <w:link w:val="BodyText"/>
    <w:rsid w:val="00C25A43"/>
    <w:rPr>
      <w:lang w:bidi="ar-SA" w:eastAsia="en-AU"/>
    </w:rPr>
  </w:style>
  <w:style w:type="character" w:styleId="Heading2Char" w:customStyle="1">
    <w:name w:val="Heading 2 Char"/>
    <w:link w:val="Heading2"/>
    <w:rsid w:val="00636744"/>
    <w:rPr>
      <w:rFonts w:eastAsia="Times New Roman"/>
      <w:b w:val="1"/>
      <w:bCs w:val="1"/>
      <w:caps w:val="1"/>
      <w:color w:val="000000"/>
      <w:sz w:val="22"/>
      <w:szCs w:val="22"/>
      <w:lang w:bidi="ar-SA" w:eastAsia="en-AU"/>
    </w:rPr>
  </w:style>
  <w:style w:type="character" w:styleId="Heading3Char" w:customStyle="1">
    <w:name w:val="Heading 3 Char"/>
    <w:link w:val="Heading3"/>
    <w:rsid w:val="00F06A87"/>
    <w:rPr>
      <w:rFonts w:cs="Arial" w:eastAsia="Times New Roman"/>
      <w:b w:val="1"/>
      <w:bCs w:val="1"/>
      <w:caps w:val="1"/>
      <w:color w:val="000000"/>
      <w:lang w:bidi="ar-SA" w:eastAsia="en-AU"/>
    </w:rPr>
  </w:style>
  <w:style w:type="character" w:styleId="Heading4Char" w:customStyle="1">
    <w:name w:val="Heading 4 Char"/>
    <w:link w:val="Heading4"/>
    <w:rsid w:val="0037226C"/>
    <w:rPr>
      <w:rFonts w:eastAsia="Times New Roman"/>
      <w:b w:val="1"/>
      <w:bCs w:val="1"/>
      <w:color w:val="000000"/>
      <w:szCs w:val="19"/>
      <w:lang w:bidi="ar-SA"/>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sz w:val="16"/>
      <w:szCs w:val="16"/>
      <w:lang w:eastAsia="x-none" w:val="x-none"/>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lang w:eastAsia="x-none" w:val="x-none"/>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paragraph" w:styleId="Policytext" w:customStyle="1">
    <w:name w:val="Policy text"/>
    <w:link w:val="PolicytextChar"/>
    <w:rsid w:val="005F1D3F"/>
    <w:pPr>
      <w:spacing w:after="40" w:before="80" w:line="280" w:lineRule="atLeast"/>
    </w:pPr>
    <w:rPr>
      <w:rFonts w:eastAsia="Times New Roman"/>
      <w:snapToGrid w:val="0"/>
      <w:sz w:val="22"/>
      <w:szCs w:val="22"/>
    </w:rPr>
  </w:style>
  <w:style w:type="character" w:styleId="PolicytextChar" w:customStyle="1">
    <w:name w:val="Policy text Char"/>
    <w:link w:val="Policytext"/>
    <w:rsid w:val="005F1D3F"/>
    <w:rPr>
      <w:rFonts w:eastAsia="Times New Roman"/>
      <w:snapToGrid w:val="0"/>
      <w:sz w:val="22"/>
      <w:szCs w:val="22"/>
      <w:lang w:bidi="ar-SA"/>
    </w:rPr>
  </w:style>
  <w:style w:type="paragraph" w:styleId="Policybullets" w:customStyle="1">
    <w:name w:val="Policy bullets"/>
    <w:basedOn w:val="Policytext"/>
    <w:rsid w:val="007657CF"/>
    <w:pPr>
      <w:numPr>
        <w:numId w:val="17"/>
      </w:numPr>
    </w:pPr>
  </w:style>
  <w:style w:type="paragraph" w:styleId="Default" w:customStyle="1">
    <w:name w:val="Default"/>
    <w:rsid w:val="007657CF"/>
    <w:pPr>
      <w:autoSpaceDE w:val="0"/>
      <w:autoSpaceDN w:val="0"/>
      <w:adjustRightInd w:val="0"/>
    </w:pPr>
    <w:rPr>
      <w:rFonts w:ascii="Calibri" w:cs="Calibri" w:eastAsia="Times New Roman" w:hAnsi="Calibri"/>
      <w:color w:val="000000"/>
      <w:sz w:val="24"/>
      <w:szCs w:val="24"/>
    </w:rPr>
  </w:style>
  <w:style w:type="paragraph" w:styleId="Pa7" w:customStyle="1">
    <w:name w:val="Pa7"/>
    <w:basedOn w:val="Default"/>
    <w:next w:val="Default"/>
    <w:uiPriority w:val="99"/>
    <w:rsid w:val="007657CF"/>
    <w:pPr>
      <w:spacing w:line="221" w:lineRule="atLeast"/>
    </w:pPr>
    <w:rPr>
      <w:rFonts w:ascii="Meta Plus Bold" w:cs="Times New Roman" w:hAnsi="Meta Plus Bold"/>
      <w:color w:val="auto"/>
    </w:rPr>
  </w:style>
  <w:style w:type="paragraph" w:styleId="Attachmenttitle" w:customStyle="1">
    <w:name w:val="Attachment title"/>
    <w:basedOn w:val="Normal"/>
    <w:qFormat w:val="1"/>
    <w:rsid w:val="007657CF"/>
    <w:pPr>
      <w:spacing w:after="240" w:before="120"/>
      <w:jc w:val="center"/>
    </w:pPr>
    <w:rPr>
      <w:rFonts w:cs="Helvetica" w:eastAsia="Times New Roman"/>
      <w:b w:val="1"/>
      <w:snapToGrid w:val="0"/>
      <w:sz w:val="28"/>
      <w:szCs w:val="32"/>
      <w:lang w:val="en-US"/>
    </w:rPr>
  </w:style>
  <w:style w:type="character" w:styleId="FollowedHyperlink">
    <w:name w:val="FollowedHyperlink"/>
    <w:uiPriority w:val="99"/>
    <w:semiHidden w:val="1"/>
    <w:unhideWhenUsed w:val="1"/>
    <w:rsid w:val="00BC5501"/>
    <w:rPr>
      <w:color w:val="800080"/>
      <w:u w:val="single"/>
    </w:rPr>
  </w:style>
  <w:style w:type="character" w:styleId="CommentReference">
    <w:name w:val="annotation reference"/>
    <w:uiPriority w:val="99"/>
    <w:semiHidden w:val="1"/>
    <w:unhideWhenUsed w:val="1"/>
    <w:rsid w:val="00D33766"/>
    <w:rPr>
      <w:sz w:val="16"/>
      <w:szCs w:val="16"/>
    </w:rPr>
  </w:style>
  <w:style w:type="paragraph" w:styleId="CommentText">
    <w:name w:val="annotation text"/>
    <w:basedOn w:val="Normal"/>
    <w:link w:val="CommentTextChar"/>
    <w:uiPriority w:val="99"/>
    <w:semiHidden w:val="1"/>
    <w:unhideWhenUsed w:val="1"/>
    <w:rsid w:val="00D33766"/>
    <w:rPr>
      <w:sz w:val="20"/>
      <w:szCs w:val="20"/>
    </w:rPr>
  </w:style>
  <w:style w:type="character" w:styleId="CommentTextChar" w:customStyle="1">
    <w:name w:val="Comment Text Char"/>
    <w:link w:val="CommentText"/>
    <w:uiPriority w:val="99"/>
    <w:semiHidden w:val="1"/>
    <w:rsid w:val="00D33766"/>
    <w:rPr>
      <w:lang w:eastAsia="en-US"/>
    </w:rPr>
  </w:style>
  <w:style w:type="paragraph" w:styleId="CommentSubject">
    <w:name w:val="annotation subject"/>
    <w:basedOn w:val="CommentText"/>
    <w:next w:val="CommentText"/>
    <w:link w:val="CommentSubjectChar"/>
    <w:uiPriority w:val="99"/>
    <w:semiHidden w:val="1"/>
    <w:unhideWhenUsed w:val="1"/>
    <w:rsid w:val="00D33766"/>
    <w:rPr>
      <w:b w:val="1"/>
      <w:bCs w:val="1"/>
    </w:rPr>
  </w:style>
  <w:style w:type="character" w:styleId="CommentSubjectChar" w:customStyle="1">
    <w:name w:val="Comment Subject Char"/>
    <w:link w:val="CommentSubject"/>
    <w:uiPriority w:val="99"/>
    <w:semiHidden w:val="1"/>
    <w:rsid w:val="00D33766"/>
    <w:rPr>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arlychildhoodaustralia.org.au/nqsplp" TargetMode="External"/><Relationship Id="rId10" Type="http://schemas.openxmlformats.org/officeDocument/2006/relationships/hyperlink" Target="http://www.acecqa.gov.au/" TargetMode="External"/><Relationship Id="rId13" Type="http://schemas.openxmlformats.org/officeDocument/2006/relationships/hyperlink" Target="https://www.vic.gov.au/marrung" TargetMode="External"/><Relationship Id="rId12" Type="http://schemas.openxmlformats.org/officeDocument/2006/relationships/hyperlink" Target="https://www.education.vic.gov.au/childhood/professionals/learning/Pages/veyldf.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education.gov.au/early-years-learning-framework" TargetMode="External"/><Relationship Id="rId8" Type="http://schemas.openxmlformats.org/officeDocument/2006/relationships/hyperlink" Target="http://education.gov.au/early-years-learning-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pUS3/Tx8oF8+GvPjl02qjo+lQ==">CgMxLjAyCGguZ2pkZ3hzOABqJgoUc3VnZ2VzdC4yYTEwN2E2M2Zxc28SDlBvbGljeSBPZmZpY2VyaiMKE3N1Z2dlc3QuYnZreWF3MWFheTQSDEplbm55IEJyb3duZXIhMWw3bmxNd2IxYjlEZWVyZVlnWk83SUpTNFprQXRwSkU1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2021-02-20T19:25:00Z</dcterms:created>
  <dc:creator>Bonnie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mpany">
    <vt:lpwstr>Company</vt:lpwstr>
  </property>
  <property fmtid="{D5CDD505-2E9C-101B-9397-08002B2CF9AE}" pid="4" name="xPolicyName">
    <vt:lpwstr>Policy name</vt:lpwstr>
  </property>
</Properties>
</file>