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Nutrition, Oral Health and Active Play Policy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Mandatory – Quality Area 2</w:t>
      </w:r>
    </w:p>
    <w:p w:rsidR="00000000" w:rsidDel="00000000" w:rsidP="00000000" w:rsidRDefault="00000000" w:rsidRPr="00000000" w14:paraId="00000003">
      <w:pPr>
        <w:pStyle w:val="Heading1"/>
        <w:rPr/>
      </w:pPr>
      <w:r w:rsidDel="00000000" w:rsidR="00000000" w:rsidRPr="00000000">
        <w:rPr>
          <w:rtl w:val="0"/>
        </w:rPr>
        <w:t xml:space="preserve">Purpose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acknowledges the importance of healthy eating, oral health and physical activity and its contribution to good health and overall wellbeing.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provides guidelines to:</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a healthy lifestyle and support children, staff, educators and families at the service to eat nutritious food, maintain oral health and participate in physical activity and active play.</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national and state guidelines and recommendations about nutrition, oral health and physical activity are met.</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dietary and cultural needs of children and families are taken into consideration when planning menus and implementing nutrition, oral health and active play activities.</w:t>
      </w:r>
    </w:p>
    <w:p w:rsidR="00000000" w:rsidDel="00000000" w:rsidP="00000000" w:rsidRDefault="00000000" w:rsidRPr="00000000" w14:paraId="00000009">
      <w:pPr>
        <w:pStyle w:val="Heading1"/>
        <w:rPr/>
      </w:pPr>
      <w:r w:rsidDel="00000000" w:rsidR="00000000" w:rsidRPr="00000000">
        <w:rPr>
          <w:rtl w:val="0"/>
        </w:rPr>
        <w:t xml:space="preserve">Policy statement</w:t>
      </w:r>
    </w:p>
    <w:p w:rsidR="00000000" w:rsidDel="00000000" w:rsidP="00000000" w:rsidRDefault="00000000" w:rsidRPr="00000000" w14:paraId="0000000A">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committed to:</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policies and practices that promote a healthy lifestyle and ensure national and state guidelines and recommendations about safe food preparation, nutrition, oral health and physical activity are met. </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buildings, grounds and facilities enable healthy eating, oral health and active play.</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creating a culture in which all community members are respectfully supported to eat healthily, maintain good oral health and be active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children with formal and informal opportunities to learn about food, nutrition, oral health and health messages about physical activity.</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staff and educators have access to resources and support for their own healthy eating, oral health and physical activity.</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engaging families, the service community and expert organisations in the promotion and implementation of healthy eating, oral health and active play initiatives.</w:t>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educators, staff, students on placement, volunteers, families, parents/guardians, children and others attending the programs and activities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4">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5">
      <w:pPr>
        <w:pStyle w:val="Heading4"/>
        <w:rPr/>
      </w:pPr>
      <w:r w:rsidDel="00000000" w:rsidR="00000000" w:rsidRPr="00000000">
        <w:rPr>
          <w:rtl w:val="0"/>
        </w:rPr>
        <w:t xml:space="preserve">Background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are many benefits to promoting a healthy lifestyle in early childhood education and care settings, including the positive impact this has on each child’s learning and development. Being made aware of positive eating behaviour, oral hygiene practices and the importance of physical activity from an early age can </w:t>
      </w:r>
      <w:r w:rsidDel="00000000" w:rsidR="00000000" w:rsidRPr="00000000">
        <w:rPr>
          <w:sz w:val="20"/>
          <w:szCs w:val="20"/>
          <w:rtl w:val="0"/>
        </w:rPr>
        <w:t xml:space="preserve">instill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good habits that will remain throughout a person’s life. Staff are well placed to build this awareness among children and their families, while respecting lifestyle choices, and cultural and religious values.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health promoting service it is recognised that every member of the service impacts on children’s health. Children, staff, educators and families can be supported to eat healthily, maintain good oral health and be physically active through teaching and learning opportunities, policies, creating a safe and healthy physical and social environment and developing community links and partnerships.</w:t>
      </w:r>
    </w:p>
    <w:p w:rsidR="00000000" w:rsidDel="00000000" w:rsidP="00000000" w:rsidRDefault="00000000" w:rsidRPr="00000000" w14:paraId="00000018">
      <w:pPr>
        <w:keepNext w:val="1"/>
        <w:keepLines w:val="1"/>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Nutrition </w:t>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foods we eat provide our body with the nutrients we need to stay healthy. Good nutrition is the balanced eating of a variety of foods, and is especially important for children as they require a large amount of nutrients for growth and development. Research has shown that, when offered a variety of healthy foods, children can and do make good choices. It is also important to provide Pre-school children with a good foundation in healthy eating, as most children have formed lifelong eating habits before they reach school age. </w:t>
      </w:r>
    </w:p>
    <w:p w:rsidR="00000000" w:rsidDel="00000000" w:rsidP="00000000" w:rsidRDefault="00000000" w:rsidRPr="00000000" w14:paraId="0000001A">
      <w:pPr>
        <w:keepNext w:val="1"/>
        <w:keepLines w:val="1"/>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Oral health</w:t>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Tooth decay is Australia’s most prevalent health problem despite being largely preventable. It is important to note that oral health promotion is complementary to promoting healthy eating. </w:t>
      </w:r>
    </w:p>
    <w:p w:rsidR="00000000" w:rsidDel="00000000" w:rsidP="00000000" w:rsidRDefault="00000000" w:rsidRPr="00000000" w14:paraId="0000001C">
      <w:pPr>
        <w:spacing w:before="60" w:lineRule="auto"/>
        <w:rPr>
          <w:sz w:val="20"/>
          <w:szCs w:val="20"/>
        </w:rPr>
      </w:pPr>
      <w:r w:rsidDel="00000000" w:rsidR="00000000" w:rsidRPr="00000000">
        <w:rPr>
          <w:sz w:val="20"/>
          <w:szCs w:val="20"/>
          <w:rtl w:val="0"/>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prevalent than asthma.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Active play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Active play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develops a strong and healthy body, builds motor and </w:t>
      </w:r>
      <w:r w:rsidDel="00000000" w:rsidR="00000000" w:rsidRPr="00000000">
        <w:rPr>
          <w:sz w:val="20"/>
          <w:szCs w:val="20"/>
          <w:rtl w:val="0"/>
        </w:rPr>
        <w:t xml:space="preserve">coordination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skills, creates a sense of wellbeing and helps protect children from disease. Active play is about moving, being and doing.</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strong sense of health and wellbeing, supported by good nutrition, oral health and an active lifestyle, can provide children with confidence, energy and optimism that will contribute to their ability to concentrate, co-operate and learn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Learning about healthy lifestyles, including nutrition, oral health and active play, links directly to Outcome 3 in both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Early Years Learning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Australian Government has guidelines, recommendations and resources for healthy eating and physical activity in early childhood settings including the National Health and Medical Research Council’s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Australian Dietary Guidelines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Infant Feeding Guidelines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 Up &amp; Grow: Healthy Eating and Physical Activity for Early Childhood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resources and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Physical Activity Recommendations for Children 0-5 Years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Practical, healthy eating advice is also available to early childhood services and schools via a telephone advice line: the Victorian Healthy Eating Advisory Service (Healthy Eating Advisory Service –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run by Nutrition Australia. Early childhood education and care services can also register and implement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Achievement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program is designed to create safe, healthy and friendly environments for children, staff educators and families, by promoting physical, mental and social health and wellbeing.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Progressive meal times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we acknowledge there are some benefits to having progressive meal times, we find that children respond well to having routines in their day. During snack and lunch time, educators sit and eat with the children and scaffold their learning about healthy eating and the importance of drinking water.</w:t>
        <w:br w:type="textWrapping"/>
        <w:t xml:space="preserve">These times also provide valuable learning about food allergies and preferences and ensure we are supporting children to help to keep each other safe, practice good hygiene and fuel their bodies to sustain themselves during our extended hours.</w:t>
        <w:br w:type="textWrapping"/>
        <w:t xml:space="preserve">Educators are vigilant and are always encouraging children to drink water throughout the day and fill empty water bottles.</w:t>
        <w:br w:type="textWrapping"/>
        <w:t xml:space="preserve">If a child is needing to eat outside of the routine meal times, educators facilitate this.</w:t>
        <w:br w:type="textWrapping"/>
        <w:t xml:space="preserve">Educators also ensure children receive enough time to consume their snacks and lunch.</w:t>
      </w:r>
    </w:p>
    <w:p w:rsidR="00000000" w:rsidDel="00000000" w:rsidP="00000000" w:rsidRDefault="00000000" w:rsidRPr="00000000" w14:paraId="00000023">
      <w:pPr>
        <w:pStyle w:val="Heading4"/>
        <w:spacing w:before="240" w:lineRule="auto"/>
        <w:rPr/>
      </w:pPr>
      <w:r w:rsidDel="00000000" w:rsidR="00000000" w:rsidRPr="00000000">
        <w:rPr>
          <w:rtl w:val="0"/>
        </w:rPr>
        <w:t xml:space="preserve">Legislation and standards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 New Zealand Food Standards Code</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Wellbeing and Safety Act 2005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(Vic)</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Disability Discrimination Act 1992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Regulations 77–78, 79–80 (if the service provides food), 168</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Equal Opportunity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Act 1984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 re. Food Safety</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including Quality Area 2: Children’s Health and Safety</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E">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Active play: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Play that involves large muscle-based activities that are essential for a child’s social, emotional, cognitive and physical growth and development incorporating:</w:t>
      </w:r>
    </w:p>
    <w:p w:rsidR="00000000" w:rsidDel="00000000" w:rsidP="00000000" w:rsidRDefault="00000000" w:rsidRPr="00000000" w14:paraId="00000031">
      <w:pPr>
        <w:numPr>
          <w:ilvl w:val="0"/>
          <w:numId w:val="2"/>
        </w:numPr>
        <w:spacing w:after="0" w:lineRule="auto"/>
        <w:ind w:left="360" w:hanging="360"/>
        <w:rPr>
          <w:sz w:val="20"/>
          <w:szCs w:val="20"/>
        </w:rPr>
      </w:pPr>
      <w:r w:rsidDel="00000000" w:rsidR="00000000" w:rsidRPr="00000000">
        <w:rPr>
          <w:sz w:val="20"/>
          <w:szCs w:val="20"/>
          <w:rtl w:val="0"/>
        </w:rPr>
        <w:t xml:space="preserve">child-initiated active play, which is developed by the child through exploration of the outdoor environment, equipment and games.</w:t>
      </w:r>
    </w:p>
    <w:p w:rsidR="00000000" w:rsidDel="00000000" w:rsidP="00000000" w:rsidRDefault="00000000" w:rsidRPr="00000000" w14:paraId="00000032">
      <w:pPr>
        <w:numPr>
          <w:ilvl w:val="0"/>
          <w:numId w:val="2"/>
        </w:numPr>
        <w:spacing w:after="0" w:lineRule="auto"/>
        <w:ind w:left="360" w:hanging="360"/>
        <w:rPr>
          <w:sz w:val="20"/>
          <w:szCs w:val="20"/>
        </w:rPr>
      </w:pPr>
      <w:r w:rsidDel="00000000" w:rsidR="00000000" w:rsidRPr="00000000">
        <w:rPr>
          <w:sz w:val="20"/>
          <w:szCs w:val="20"/>
          <w:rtl w:val="0"/>
        </w:rPr>
        <w:t xml:space="preserve">adult-guided active play which encourages children’s physical development through promoting movement skills in a non-competitive environment.</w:t>
      </w:r>
    </w:p>
    <w:p w:rsidR="00000000" w:rsidDel="00000000" w:rsidP="00000000" w:rsidRDefault="00000000" w:rsidRPr="00000000" w14:paraId="00000033">
      <w:pPr>
        <w:numPr>
          <w:ilvl w:val="0"/>
          <w:numId w:val="2"/>
        </w:numPr>
        <w:spacing w:after="0" w:lineRule="auto"/>
        <w:ind w:left="360" w:hanging="360"/>
        <w:rPr>
          <w:sz w:val="20"/>
          <w:szCs w:val="20"/>
        </w:rPr>
      </w:pPr>
      <w:r w:rsidDel="00000000" w:rsidR="00000000" w:rsidRPr="00000000">
        <w:rPr>
          <w:sz w:val="20"/>
          <w:szCs w:val="20"/>
          <w:rtl w:val="0"/>
        </w:rPr>
        <w:t xml:space="preserve">physical activity, which includes sport, incidental exercise and many forms of recreation.</w:t>
      </w:r>
    </w:p>
    <w:p w:rsidR="00000000" w:rsidDel="00000000" w:rsidP="00000000" w:rsidRDefault="00000000" w:rsidRPr="00000000" w14:paraId="00000034">
      <w:pPr>
        <w:numPr>
          <w:ilvl w:val="0"/>
          <w:numId w:val="2"/>
        </w:numPr>
        <w:spacing w:after="0" w:lineRule="auto"/>
        <w:ind w:left="360" w:hanging="360"/>
        <w:rPr>
          <w:sz w:val="20"/>
          <w:szCs w:val="20"/>
        </w:rPr>
      </w:pPr>
      <w:r w:rsidDel="00000000" w:rsidR="00000000" w:rsidRPr="00000000">
        <w:rPr>
          <w:sz w:val="20"/>
          <w:szCs w:val="20"/>
          <w:rtl w:val="0"/>
        </w:rPr>
        <w:t xml:space="preserve">active travel, which includes walking, cycling, scootering or any similar transport where physical activity is used to travel.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supervision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‘Discretionary’ foods and drinks: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Food and drink items that are high in fat, sugar and salt, and that contain minimal vitamins, minerals or fibre. These can also be referred to as ‘sometimes’ foods and drinks.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Examples of discretionary food and drinks include:</w:t>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chocolate, confectionery, jelly. </w:t>
      </w:r>
    </w:p>
    <w:p w:rsidR="00000000" w:rsidDel="00000000" w:rsidP="00000000" w:rsidRDefault="00000000" w:rsidRPr="00000000" w14:paraId="000000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sweet biscuits, high fat/salt savoury biscuits, chips.</w:t>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sugar/high fat cakes and slices.</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cream, ice cream.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deep fried foods (e.g. hot chips) and pastry-based foods (pies, sausage rolls and pasties).</w:t>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fast food and takeaway foods.</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some processed meats (e.g. sausages, frankfurts/hot dogs, salami, strasbourg, devon, some commercial chicken nuggets and fish fingers). </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 drinks, fruit juice and fruit drinks, cordial, sports drinks, energy drinks, flavoured milk and flavoured mineral water.</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Healthy eating: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Describes eating patterns that provide all the recommended nutrients for growth and development, and good health and wellbeing, now and in the future. It also refers to preparing, serving and eating food in a way that recognises its importance as a social and cultural activity.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Nutrition: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process of providing or receiving nourishing substances.</w:t>
      </w:r>
    </w:p>
    <w:p w:rsidR="00000000" w:rsidDel="00000000" w:rsidP="00000000" w:rsidRDefault="00000000" w:rsidRPr="00000000" w14:paraId="00000049">
      <w:pPr>
        <w:rPr>
          <w:color w:val="1f497d"/>
          <w:sz w:val="20"/>
          <w:szCs w:val="20"/>
        </w:rPr>
      </w:pPr>
      <w:r w:rsidDel="00000000" w:rsidR="00000000" w:rsidRPr="00000000">
        <w:rPr>
          <w:b w:val="1"/>
          <w:sz w:val="20"/>
          <w:szCs w:val="20"/>
          <w:rtl w:val="0"/>
        </w:rPr>
        <w:t xml:space="preserve">Oral health:</w:t>
      </w:r>
      <w:r w:rsidDel="00000000" w:rsidR="00000000" w:rsidRPr="00000000">
        <w:rPr>
          <w:sz w:val="20"/>
          <w:szCs w:val="20"/>
          <w:rtl w:val="0"/>
        </w:rPr>
        <w:t xml:space="preserve"> The absence of active disease in the mouth. Oral health is fundamental to overall health, wellbeing and quality of life. A healthy mouth enables people to eat, speak and socialise without pain, discomfort or embarrassment.</w:t>
      </w:r>
      <w:r w:rsidDel="00000000" w:rsidR="00000000" w:rsidRPr="00000000">
        <w:rPr>
          <w:rtl w:val="0"/>
        </w:rPr>
      </w:r>
    </w:p>
    <w:p w:rsidR="00000000" w:rsidDel="00000000" w:rsidP="00000000" w:rsidRDefault="00000000" w:rsidRPr="00000000" w14:paraId="0000004A">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B">
      <w:pPr>
        <w:pStyle w:val="Heading4"/>
        <w:spacing w:before="170" w:lineRule="auto"/>
        <w:rPr/>
      </w:pPr>
      <w:r w:rsidDel="00000000" w:rsidR="00000000" w:rsidRPr="00000000">
        <w:rPr>
          <w:rtl w:val="0"/>
        </w:rPr>
        <w:t xml:space="preserve">Sources</w:t>
      </w:r>
    </w:p>
    <w:p w:rsidR="00000000" w:rsidDel="00000000" w:rsidP="00000000" w:rsidRDefault="00000000" w:rsidRPr="00000000" w14:paraId="0000004C">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Australian Dietary Guidelines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2019, National Health and Medical Research Council: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https://www.eatforhealth.gov.au/guidelines</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Belonging, Being &amp; Becoming – The Early Years Learning Framework for Australia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https://docs.education.gov.au/documents/belonging-being-becoming-early-years-learning-framework-australia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Better Health Channel: </w:t>
      </w: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www.betterhealth.vic.gov.au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Dental Health Services Victoria: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www.dhsv.org.au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Safety Victoria, Department of Health: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www2.health.vic.gov.au/public-health/food-safety</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Food Standards Australia New Zealand: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www.foodstandards.gov.au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Department of Health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Get Up &amp; Grow: Healthy Eating and Physical Activity for Early Childhood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https://www.health.gov.au/internet/main/publishing.nsf/Content/phd-gug-staffcarers</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Achievement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health and wellbeing initiative for early childhood services, schools and workplaces: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www.achievementprogram.health.vic.gov.au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2"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Healthy Eating Advisory Service: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www.heas.health.vic.gov.au</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2"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Infant Feeding Guidelines: information for health workers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(2012):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https://www.nhmrc.gov.au/about-us/publications/infant-feeding-guidelines-information-health-workers</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Australian 24-Hour Movement Guidelines for the Early Years (Birth to 5 years):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https://www.health.gov.au/internet/main/publishing.nsf/Content/npra-0-5yrs-brochure</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Australia’s Physical Activity and Sedentary Behaviour Guidelines for Adults: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https://www1.health.gov.au/internet/main/publishing.nsf/Content/health-pubhlth-strateg-phys-act-guidelines#npa1864</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,Staying Healthy: Preventing infectious diseases in early childhood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2013):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https://www.nhmrc.gov.au/about-us/publications/staying-healthy-preventing-infectious-diseases-early-childhood-education-and-care-services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Victorian Early Years Learning and Development Framework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www.education.vic.gov.au</w:t>
        </w:r>
      </w:hyperlink>
      <w:r w:rsidDel="00000000" w:rsidR="00000000" w:rsidRPr="00000000">
        <w:rPr>
          <w:rtl w:val="0"/>
        </w:rPr>
      </w:r>
    </w:p>
    <w:p w:rsidR="00000000" w:rsidDel="00000000" w:rsidP="00000000" w:rsidRDefault="00000000" w:rsidRPr="00000000" w14:paraId="0000005A">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Curriculum Development Policy</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 </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Inclusion and Equity Policy</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Sun Protection Policy</w:t>
      </w:r>
    </w:p>
    <w:p w:rsidR="00000000" w:rsidDel="00000000" w:rsidP="00000000" w:rsidRDefault="00000000" w:rsidRPr="00000000" w14:paraId="00000069">
      <w:pPr>
        <w:pStyle w:val="Heading1"/>
        <w:rPr/>
      </w:pPr>
      <w:r w:rsidDel="00000000" w:rsidR="00000000" w:rsidRPr="00000000">
        <w:rPr>
          <w:rtl w:val="0"/>
        </w:rPr>
        <w:t xml:space="preserve">Procedures</w:t>
      </w:r>
    </w:p>
    <w:p w:rsidR="00000000" w:rsidDel="00000000" w:rsidP="00000000" w:rsidRDefault="00000000" w:rsidRPr="00000000" w14:paraId="0000006A">
      <w:pPr>
        <w:pStyle w:val="Heading4"/>
        <w:rPr/>
      </w:pPr>
      <w:r w:rsidDel="00000000" w:rsidR="00000000" w:rsidRPr="00000000">
        <w:rPr>
          <w:rtl w:val="0"/>
        </w:rPr>
        <w:t xml:space="preserve">The Approved Provider and Persons with Management or Control are responsible for:</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environment and educational program supports children and families to make healthy choices for eating, oral health and active play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ongoing information, resources and support to families, to assist in the promotion of optimum health, including oral health, for young children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recognising families, educators and staff as role models and encouraging them to bring/use foods and drinks that are in line with the service’s Nutrition, Oral Health and Active Play Policy</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implementation of adequate health and hygiene procedures, and safe practices for handling, preparing and storing food, to minimise risks to children being educated and cared for by the service (Regulation 77)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with diagnosed food allergies and/or diabetes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are aware of, and plan for, the dietary needs of all children </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fresh drinking water (preferably tap water) is readily available at all times, indoors and outdoors, and reminding children to drink water throughout the day, including at snack/lunch times (Regulation 78(1)(a)) (Only tap water is encouraged.)</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and drinks are available to children at frequent and regular intervals throughout the day (Regulation 78(1)(b))</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staff are supported to access a range of resources and professional development to increase their capacity to promote healthy eating, oral health and active play initiatives for children</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discretionary food and drinks do not appear in any sponsorship, fundraising or marketing activities</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celebrations and other service events promote healthy food options and limit discretionary options </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service facilities and equipment enable active travel and road safety for children, staff, educators and families </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 suitable space for breastfeeding and storage of breast milk is available</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space and facilities are available to allow staff and educators to store and prepare healthy food</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healthy eating, oral health and active play information and policy requirements are included in the educator and staff induction</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and staff are supported to be physically active and minimise sedentary behaviour, both inside and outside of work hours.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i w:val="1"/>
          <w:sz w:val="20"/>
          <w:szCs w:val="20"/>
          <w:u w:val="singl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i w:val="1"/>
          <w:sz w:val="20"/>
          <w:szCs w:val="20"/>
          <w:u w:val="singl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i w:val="1"/>
          <w:sz w:val="20"/>
          <w:szCs w:val="20"/>
          <w:u w:val="singl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Where food is provided at the service:</w:t>
      </w:r>
    </w:p>
    <w:p w:rsidR="00000000" w:rsidDel="00000000" w:rsidP="00000000" w:rsidRDefault="00000000" w:rsidRPr="00000000" w14:paraId="0000007F">
      <w:pPr>
        <w:pStyle w:val="Heading4"/>
        <w:spacing w:before="170" w:lineRule="auto"/>
        <w:rPr/>
      </w:pPr>
      <w:r w:rsidDel="00000000" w:rsidR="00000000" w:rsidRPr="00000000">
        <w:rPr>
          <w:rtl w:val="0"/>
        </w:rPr>
        <w:t xml:space="preserve">The Nominated Supervisor and Persons in Day-to-Day Charge are responsible for:</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environment and the educational program supports children and families to learn about and make healthy choices for eating, oral health and active play</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embedding opportunities to learn about healthy eating and oral health and the importance of physical activity in the educational program, throughout the year</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oral hygiene practices are undertaken at the service where appropriate</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implementation of adequate health and hygiene procedures, and safe practices for handling, preparing and storing food, to minimise risks to children being educated and cared for by the service (Regulation 77)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Hygiene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are aware of a child’s food allergies and/or other medical conditions on enrolment or on initial diagnosis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measures are in place to prevent cross-contamination of any food given to children with diagnosed food allergies and/or diabetes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educators/staff are aware of, and plan for, the dietary needs of all children </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fresh drinking water (preferably tap water) is readily available at all times, indoors and outdoors, and reminding children to drink water throughout the day, including at snack/lunch times (Regulation 78(1)(a)). (Only tap water is encouraged.)</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and drinks are available to children at frequent and regular intervals throughout the day (Regulation 78(1)(b))</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registering and engaging the service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Achievement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Sources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age-appropriate adult-guided and child-initiated active play is planned on a daily basis across all age groups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cultural and religious practices/requirements of families are accommodated to support children’s learning and development</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reviewing guidelines for celebrations, fundraising activities and other service events in consultation with educators, staff, parents/guardians and families to focus on healthy alternatives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families with information and strategies to promote healthy eating, oral health and active play and how to access relevant services (including local dental clinics)</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links with local and regional health services, community organisations and businesses that provide expertise, resources and support for healthy eating, oral health and active play</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are supported to access resources, tools and professional learning to enhance their knowledge and capacity to develop adult guided and child initiated active play experiences and promote healthy eating and oral health</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this policy when organising excursions, service events and any sponsorship or marketing opportunities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 layout of the grounds and buildings is inclusive of the diversity and abilities of all children and encourages physical activity and movement </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recommendations about physical activity and screen time from the Australian 24-Hour Movement Guidelines for the Early Years (Birth to 5 Years) are met</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active travel to and from the service.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Where food is provided at the service:</w:t>
      </w:r>
      <w:r w:rsidDel="00000000" w:rsidR="00000000" w:rsidRPr="00000000">
        <w:rPr>
          <w:rtl w:val="0"/>
        </w:rPr>
      </w:r>
    </w:p>
    <w:p w:rsidR="00000000" w:rsidDel="00000000" w:rsidP="00000000" w:rsidRDefault="00000000" w:rsidRPr="00000000" w14:paraId="00000095">
      <w:pPr>
        <w:pStyle w:val="Heading4"/>
        <w:rPr/>
      </w:pPr>
      <w:r w:rsidDel="00000000" w:rsidR="00000000" w:rsidRPr="00000000">
        <w:rPr>
          <w:rtl w:val="0"/>
        </w:rPr>
        <w:t xml:space="preserve">All educators/staff are responsible for:</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Oral Health and Active Play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with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Act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a child’s food allergies and/or other medical conditions on enrolment at the service or on initial diagnosis</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measures to prevent cross-contamination of any food given to children with diagnosed food allergies and/or diabetes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Diabetes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Food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and planning for, the dietary needs of all children </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service environment and the educational program supports children and families to make healthy choices for eating, oral health and active play</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discussing healthy eating choices with children and introducing the concept of ‘sometimes’ and everyday foods and drinks</w:t>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variety of cooking and food experiences that support children to develop food literacy and positive habits relating to food</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role-modelling positive eating, drinking and physical activity behaviours, promoting a healthy relationship with food and interacting with children at meals times</w:t>
      </w:r>
    </w:p>
    <w:p w:rsidR="00000000" w:rsidDel="00000000" w:rsidP="00000000" w:rsidRDefault="00000000" w:rsidRPr="00000000" w14:paraId="000000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food and drink are not used as an incentive, bribe or reward at any time</w:t>
      </w:r>
    </w:p>
    <w:p w:rsidR="00000000" w:rsidDel="00000000" w:rsidP="00000000" w:rsidRDefault="00000000" w:rsidRPr="00000000" w14:paraId="0000009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exploring and discussing diverse cultural, religious, social and family lifestyles</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this policy when organising excursions and service events</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students and volunteers to comply with this policy while at the service</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parents/guardians informed of current information relating to healthy eating, oral health and active play</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fresh drinking water (tap water) is readily available at all times indoors and outdoors, and reminding children to drink regularly throughout the day, including at snack/meal times</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can readily access their own clearly labelled drink containers </w:t>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food and drinks at regular intervals, and encouraging children to actively participate in, and enjoy, snack/meal times without feeling rushed</w:t>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positive eating environment and sitting and interacting with children at meal times</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be independent at snack/meal times e.g. opening lunchboxes, pouring drinks, self-feeding, serving and using utensils in a culturally-sensitive way</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opportunities for children to learn about, and develop skills for oral health through the educational program, including age-appropriate tooth brushing</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all children at all times, including at meal times</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children are not sedentary or inactive for more than 1 hour at a time</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children to develop collaboration skills during play</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and providing active play and movement experiences that are age-appropriate, inclusive of diversity and abilities and support children to develop fundamental movement skills</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opportunities for children to be physically active indoors, particularly in adverse weather conditions</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screen-based activities do not exceed the recommendations in the Australian 24-Hour Movement Guidelines for the Early Years (birth to 5 years) </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age-appropriate traffic safety education, including pedestrian and passenger safety to both children and parents/guardians at the service</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safe behaviour through daily practice as part of the program, including teaching children to use equipment safely</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and promoting local parks, bike paths and recreation facilities, where appropriate, to encourage physical activity. </w:t>
      </w:r>
    </w:p>
    <w:p w:rsidR="00000000" w:rsidDel="00000000" w:rsidP="00000000" w:rsidRDefault="00000000" w:rsidRPr="00000000" w14:paraId="000000B2">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requirements of this policy</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Diabetes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regularly with educators/staff regarding children’s specific nutritional requirements and dietary needs, including food preferences</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their child/ren to drink an adequate amount of water (preferably tap water), and discouraging ‘discretionary’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drinks</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healthy, nutritious food for snacks/meals, including fruits and vegetables in line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Nutrition, Oral Health and Active Play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policy</w: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healthy, nutritious food, including fruits or vegetables at morning tea, where applicable</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nutritious food and drinks for celebrations, fundraising activities and service events, consistent with service policy</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children to exercise by engaging in active play, and walking or riding a bike to the service where appropriate</w:t>
      </w:r>
    </w:p>
    <w:p w:rsidR="00000000" w:rsidDel="00000000" w:rsidP="00000000" w:rsidRDefault="00000000" w:rsidRPr="00000000" w14:paraId="000000B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dressing their child/ren so they can engage safely in active play.</w:t>
      </w:r>
    </w:p>
    <w:p w:rsidR="00000000" w:rsidDel="00000000" w:rsidP="00000000" w:rsidRDefault="00000000" w:rsidRPr="00000000" w14:paraId="000000BC">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BD">
      <w:pPr>
        <w:pStyle w:val="Heading4"/>
        <w:spacing w:before="170" w:lineRule="auto"/>
        <w:rPr/>
      </w:pPr>
      <w:r w:rsidDel="00000000" w:rsidR="00000000" w:rsidRPr="00000000">
        <w:rPr>
          <w:rtl w:val="0"/>
        </w:rPr>
        <w:t xml:space="preserve">Evaluation</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B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educators, staff, parents/guardians, children, management and all affected by the policy </w:t>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C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C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 with all members of the service</w:t>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 to this policy or its procedures unless a lesser period is necessary because of a risk.</w:t>
      </w:r>
    </w:p>
    <w:p w:rsidR="00000000" w:rsidDel="00000000" w:rsidP="00000000" w:rsidRDefault="00000000" w:rsidRPr="00000000" w14:paraId="000000C4">
      <w:pPr>
        <w:pStyle w:val="Heading1"/>
        <w:rPr/>
      </w:pPr>
      <w:r w:rsidDel="00000000" w:rsidR="00000000" w:rsidRPr="00000000">
        <w:rPr>
          <w:rtl w:val="0"/>
        </w:rPr>
        <w:t xml:space="preserve">Attachments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Nil</w:t>
      </w:r>
    </w:p>
    <w:p w:rsidR="00000000" w:rsidDel="00000000" w:rsidP="00000000" w:rsidRDefault="00000000" w:rsidRPr="00000000" w14:paraId="000000C6">
      <w:pPr>
        <w:pStyle w:val="Heading1"/>
        <w:rPr/>
      </w:pPr>
      <w:r w:rsidDel="00000000" w:rsidR="00000000" w:rsidRPr="00000000">
        <w:rPr>
          <w:rtl w:val="0"/>
        </w:rPr>
        <w:t xml:space="preserve">Authorisation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w:t>
      </w:r>
      <w:r w:rsidDel="00000000" w:rsidR="00000000" w:rsidRPr="00000000">
        <w:fldChar w:fldCharType="begin"/>
        <w:instrText xml:space="preserve"> DOCPROPERTY "Company"</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Woodridge Pre-school</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March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pStyle w:val="Heading1"/>
        <w:rPr>
          <w:b w:val="0"/>
        </w:rPr>
      </w:pPr>
      <w:r w:rsidDel="00000000" w:rsidR="00000000" w:rsidRPr="00000000">
        <w:rPr>
          <w:rtl w:val="0"/>
        </w:rPr>
        <w:t xml:space="preserve">Review date:  </w:t>
      </w:r>
      <w:r w:rsidDel="00000000" w:rsidR="00000000" w:rsidRPr="00000000">
        <w:rPr>
          <w:b w:val="0"/>
          <w:rtl w:val="0"/>
        </w:rPr>
        <w:t xml:space="preserve">march 2027</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6838" w:w="11906" w:orient="portrait"/>
      <w:pgMar w:bottom="1134"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rPr>
        <w:sz w:val="16"/>
        <w:szCs w:val="16"/>
      </w:rPr>
    </w:pPr>
    <w:r w:rsidDel="00000000" w:rsidR="00000000" w:rsidRPr="00000000">
      <w:rPr>
        <w:sz w:val="16"/>
        <w:szCs w:val="16"/>
        <w:rtl w:val="0"/>
      </w:rPr>
      <w:t xml:space="preserve">© Woodridge Pre-School 2021</w:t>
    </w:r>
  </w:p>
  <w:tbl>
    <w:tblPr>
      <w:tblStyle w:val="Table1"/>
      <w:tblW w:w="9070.0" w:type="dxa"/>
      <w:jc w:val="left"/>
      <w:tblBorders>
        <w:top w:color="000000" w:space="0" w:sz="4" w:val="single"/>
      </w:tblBorders>
      <w:tblLayout w:type="fixed"/>
      <w:tblLook w:val="0400"/>
    </w:tblPr>
    <w:tblGrid>
      <w:gridCol w:w="4537"/>
      <w:gridCol w:w="4533"/>
      <w:tblGridChange w:id="0">
        <w:tblGrid>
          <w:gridCol w:w="4537"/>
          <w:gridCol w:w="4533"/>
        </w:tblGrid>
      </w:tblGridChange>
    </w:tblGrid>
    <w:tr>
      <w:trPr>
        <w:cantSplit w:val="0"/>
        <w:tblHeader w:val="0"/>
      </w:trPr>
      <w:tc>
        <w:tcPr>
          <w:shd w:fill="auto"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Adapted from: © 2020 Early Learning Association Australia</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w:t>
          </w:r>
        </w:p>
      </w:tc>
      <w:tc>
        <w:tcPr>
          <w:shd w:fill="auto"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Nutrition, Oral Health and Active Play Policy (</w:t>
          </w:r>
          <w:r w:rsidDel="00000000" w:rsidR="00000000" w:rsidRPr="00000000">
            <w:rPr>
              <w:sz w:val="16"/>
              <w:szCs w:val="16"/>
              <w:rtl w:val="0"/>
            </w:rPr>
            <w:t xml:space="preserve">March 2024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tabs>
        <w:tab w:val="center" w:leader="none" w:pos="4513"/>
        <w:tab w:val="right" w:leader="none" w:pos="9026"/>
      </w:tabs>
      <w:jc w:val="right"/>
      <w:rPr>
        <w:i w:val="1"/>
        <w:sz w:val="22"/>
        <w:szCs w:val="22"/>
      </w:rPr>
    </w:pPr>
    <w:r w:rsidDel="00000000" w:rsidR="00000000" w:rsidRPr="00000000">
      <w:rPr>
        <w:i w:val="1"/>
      </w:rPr>
      <w:drawing>
        <wp:inline distB="0" distT="0" distL="0" distR="0">
          <wp:extent cx="695325" cy="68580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85800"/>
                  </a:xfrm>
                  <a:prstGeom prst="rect"/>
                  <a:ln/>
                </pic:spPr>
              </pic:pic>
            </a:graphicData>
          </a:graphic>
        </wp:inline>
      </w:drawing>
    </w:r>
    <w:r w:rsidDel="00000000" w:rsidR="00000000" w:rsidRPr="00000000">
      <w:rPr>
        <w:i w:val="1"/>
        <w:sz w:val="13"/>
        <w:szCs w:val="13"/>
        <w:rtl w:val="0"/>
      </w:rPr>
      <w:t xml:space="preserve">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6" name=""/>
              <a:graphic>
                <a:graphicData uri="http://schemas.microsoft.com/office/word/2010/wordprocessingShape">
                  <wps:wsp>
                    <wps:cNvSpPr/>
                    <wps:cNvPr id="2" name="Shape 2"/>
                    <wps:spPr>
                      <a:xfrm>
                        <a:off x="4079175" y="3459960"/>
                        <a:ext cx="2533650" cy="640080"/>
                      </a:xfrm>
                      <a:prstGeom prst="rect">
                        <a:avLst/>
                      </a:prstGeom>
                      <a:solidFill>
                        <a:srgbClr val="FFFFFF"/>
                      </a:solidFill>
                      <a:ln>
                        <a:noFill/>
                      </a:ln>
                    </wps:spPr>
                    <wps:txbx>
                      <w:txbxContent>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t xml:space="preserve">www.woodridgepreschool.org.au/</w:t>
                          </w:r>
                        </w:p>
                        <w:p w:rsidR="00000000" w:rsidDel="00000000" w:rsidP="00000000" w:rsidRDefault="00000000" w:rsidRPr="00000000">
                          <w:pPr>
                            <w:spacing w:after="110" w:before="0" w:line="240"/>
                            <w:ind w:left="0" w:right="-731.9999694824219" w:firstLine="0"/>
                            <w:jc w:val="both"/>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3"/>
                              <w:vertAlign w:val="baseline"/>
                            </w:rPr>
                            <w:t xml:space="preserve">woodridge.kin@kindergarten.vic.gov.au</w:t>
                          </w:r>
                        </w:p>
                        <w:p w:rsidR="00000000" w:rsidDel="00000000" w:rsidP="00000000" w:rsidRDefault="00000000" w:rsidRPr="00000000">
                          <w:pPr>
                            <w:spacing w:after="17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3"/>
                              <w:vertAlign w:val="baseline"/>
                            </w:rPr>
                          </w:r>
                          <w:r w:rsidDel="00000000" w:rsidR="00000000" w:rsidRPr="00000000">
                            <w:rPr>
                              <w:rFonts w:ascii="Arial" w:cs="Arial" w:eastAsia="Arial" w:hAnsi="Arial"/>
                              <w:b w:val="0"/>
                              <w:i w:val="0"/>
                              <w:smallCaps w:val="0"/>
                              <w:strike w:val="0"/>
                              <w:color w:val="000000"/>
                              <w:sz w:val="13"/>
                              <w:vertAlign w:val="baseline"/>
                            </w:rPr>
                            <w:t xml:space="preserve">ABN: 28 120 862 167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2543175" cy="654773"/>
              <wp:effectExtent b="0" l="0" r="0" t="0"/>
              <wp:wrapNone/>
              <wp:docPr id="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3175" cy="654773"/>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12C5C"/>
    <w:pPr>
      <w:spacing w:after="170"/>
    </w:pPr>
    <w:rPr>
      <w:sz w:val="19"/>
      <w:szCs w:val="19"/>
      <w:lang w:eastAsia="en-US"/>
    </w:rPr>
  </w:style>
  <w:style w:type="paragraph" w:styleId="Heading1">
    <w:name w:val="heading 1"/>
    <w:next w:val="BodyText"/>
    <w:link w:val="Heading1Char"/>
    <w:qFormat w:val="1"/>
    <w:rsid w:val="002071F5"/>
    <w:pPr>
      <w:keepNext w:val="1"/>
      <w:keepLines w:val="1"/>
      <w:spacing w:after="100" w:before="360" w:line="280" w:lineRule="atLeast"/>
      <w:outlineLvl w:val="0"/>
    </w:pPr>
    <w:rPr>
      <w:rFonts w:eastAsia="Times New Roman"/>
      <w:b w:val="1"/>
      <w:bCs w:val="1"/>
      <w:caps w:val="1"/>
      <w:color w:val="000000"/>
      <w:sz w:val="24"/>
      <w:szCs w:val="24"/>
    </w:rPr>
  </w:style>
  <w:style w:type="paragraph" w:styleId="Heading2">
    <w:name w:val="heading 2"/>
    <w:next w:val="BodyText"/>
    <w:link w:val="Heading2Char"/>
    <w:qFormat w:val="1"/>
    <w:rsid w:val="00636744"/>
    <w:pPr>
      <w:numPr>
        <w:numId w:val="4"/>
      </w:numPr>
      <w:spacing w:after="60" w:before="200"/>
      <w:ind w:left="284" w:hanging="284"/>
      <w:outlineLvl w:val="1"/>
    </w:pPr>
    <w:rPr>
      <w:rFonts w:eastAsia="Times New Roman"/>
      <w:b w:val="1"/>
      <w:bCs w:val="1"/>
      <w:caps w:val="1"/>
      <w:color w:val="000000"/>
      <w:sz w:val="22"/>
      <w:szCs w:val="22"/>
    </w:rPr>
  </w:style>
  <w:style w:type="paragraph" w:styleId="Heading3">
    <w:name w:val="heading 3"/>
    <w:next w:val="BodyText"/>
    <w:link w:val="Heading3Char"/>
    <w:qFormat w:val="1"/>
    <w:rsid w:val="00F06A87"/>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9C61D0"/>
    <w:pPr>
      <w:keepNext w:val="1"/>
      <w:spacing w:after="60" w:before="140" w:line="230" w:lineRule="atLeast"/>
      <w:outlineLvl w:val="3"/>
    </w:pPr>
    <w:rPr>
      <w:rFonts w:cs="Arial" w:eastAsia="Times New Roman"/>
      <w:b w:val="1"/>
      <w:bCs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2071F5"/>
    <w:rPr>
      <w:rFonts w:eastAsia="Times New Roman"/>
      <w:b w:val="1"/>
      <w:bCs w:val="1"/>
      <w:caps w:val="1"/>
      <w:color w:val="000000"/>
      <w:sz w:val="24"/>
      <w:szCs w:val="24"/>
      <w:lang w:bidi="ar-SA" w:eastAsia="en-AU"/>
    </w:rPr>
  </w:style>
  <w:style w:type="paragraph" w:styleId="Title">
    <w:name w:val="Title"/>
    <w:next w:val="Normal"/>
    <w:link w:val="TitleChar"/>
    <w:uiPriority w:val="1"/>
    <w:qFormat w:val="1"/>
    <w:rsid w:val="002071F5"/>
    <w:pPr>
      <w:pBdr>
        <w:bottom w:color="auto" w:space="1" w:sz="4" w:val="single"/>
      </w:pBdr>
      <w:spacing w:after="60" w:line="320" w:lineRule="atLeast"/>
    </w:pPr>
    <w:rPr>
      <w:rFonts w:eastAsia="Times New Roman"/>
      <w:b w:val="1"/>
      <w:bCs w:val="1"/>
      <w:caps w:val="1"/>
      <w:color w:val="000000"/>
      <w:sz w:val="28"/>
      <w:szCs w:val="28"/>
    </w:rPr>
  </w:style>
  <w:style w:type="character" w:styleId="TitleChar" w:customStyle="1">
    <w:name w:val="Title Char"/>
    <w:link w:val="Title"/>
    <w:uiPriority w:val="1"/>
    <w:rsid w:val="002071F5"/>
    <w:rPr>
      <w:rFonts w:eastAsia="Times New Roman"/>
      <w:b w:val="1"/>
      <w:bCs w:val="1"/>
      <w:caps w:val="1"/>
      <w:color w:val="000000"/>
      <w:sz w:val="28"/>
      <w:szCs w:val="28"/>
      <w:lang w:bidi="ar-SA"/>
    </w:rPr>
  </w:style>
  <w:style w:type="paragraph" w:styleId="Bullets2" w:customStyle="1">
    <w:name w:val="Bullets 2"/>
    <w:qFormat w:val="1"/>
    <w:rsid w:val="00636744"/>
    <w:pPr>
      <w:numPr>
        <w:ilvl w:val="1"/>
        <w:numId w:val="3"/>
      </w:numPr>
      <w:spacing w:after="60" w:line="260" w:lineRule="atLeast"/>
    </w:pPr>
    <w:rPr>
      <w:szCs w:val="19"/>
    </w:rPr>
  </w:style>
  <w:style w:type="paragraph" w:styleId="Attachment1" w:customStyle="1">
    <w:name w:val="Attachment 1"/>
    <w:next w:val="Attachment2"/>
    <w:qFormat w:val="1"/>
    <w:rsid w:val="00EF0934"/>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C25A43"/>
    <w:pPr>
      <w:spacing w:after="170" w:before="60" w:line="260" w:lineRule="atLeast"/>
    </w:pPr>
  </w:style>
  <w:style w:type="character" w:styleId="BodyTextChar" w:customStyle="1">
    <w:name w:val="Body Text Char"/>
    <w:link w:val="BodyText"/>
    <w:rsid w:val="00C25A43"/>
    <w:rPr>
      <w:lang w:bidi="ar-SA" w:eastAsia="en-AU"/>
    </w:rPr>
  </w:style>
  <w:style w:type="character" w:styleId="Heading2Char" w:customStyle="1">
    <w:name w:val="Heading 2 Char"/>
    <w:link w:val="Heading2"/>
    <w:rsid w:val="00636744"/>
    <w:rPr>
      <w:rFonts w:eastAsia="Times New Roman"/>
      <w:b w:val="1"/>
      <w:bCs w:val="1"/>
      <w:caps w:val="1"/>
      <w:color w:val="000000"/>
      <w:sz w:val="22"/>
      <w:szCs w:val="22"/>
      <w:lang w:bidi="ar-SA" w:eastAsia="en-AU"/>
    </w:rPr>
  </w:style>
  <w:style w:type="character" w:styleId="Heading3Char" w:customStyle="1">
    <w:name w:val="Heading 3 Char"/>
    <w:link w:val="Heading3"/>
    <w:rsid w:val="00F06A87"/>
    <w:rPr>
      <w:rFonts w:cs="Arial" w:eastAsia="Times New Roman"/>
      <w:b w:val="1"/>
      <w:bCs w:val="1"/>
      <w:caps w:val="1"/>
      <w:color w:val="000000"/>
      <w:lang w:bidi="ar-SA" w:eastAsia="en-AU"/>
    </w:rPr>
  </w:style>
  <w:style w:type="character" w:styleId="Heading4Char" w:customStyle="1">
    <w:name w:val="Heading 4 Char"/>
    <w:link w:val="Heading4"/>
    <w:rsid w:val="009C61D0"/>
    <w:rPr>
      <w:rFonts w:cs="Arial" w:eastAsia="Times New Roman"/>
      <w:b w:val="1"/>
      <w:bCs w:val="1"/>
      <w:color w:val="000000"/>
      <w:lang w:bidi="ar-SA" w:eastAsia="en-AU"/>
    </w:rPr>
  </w:style>
  <w:style w:type="numbering" w:styleId="Bullets" w:customStyle="1">
    <w:name w:val="Bullets"/>
    <w:uiPriority w:val="99"/>
    <w:locked w:val="1"/>
    <w:rsid w:val="00764088"/>
    <w:pPr>
      <w:numPr>
        <w:numId w:val="1"/>
      </w:numPr>
    </w:pPr>
  </w:style>
  <w:style w:type="paragraph" w:styleId="Bullets1" w:customStyle="1">
    <w:name w:val="Bullets 1"/>
    <w:qFormat w:val="1"/>
    <w:rsid w:val="00636744"/>
    <w:pPr>
      <w:numPr>
        <w:numId w:val="3"/>
      </w:numPr>
      <w:spacing w:after="60" w:line="260" w:lineRule="atLeast"/>
    </w:pPr>
    <w:rPr>
      <w:szCs w:val="19"/>
    </w:rPr>
  </w:style>
  <w:style w:type="paragraph" w:styleId="Header">
    <w:name w:val="header"/>
    <w:basedOn w:val="Normal"/>
    <w:link w:val="HeaderChar"/>
    <w:uiPriority w:val="99"/>
    <w:unhideWhenUsed w:val="1"/>
    <w:rsid w:val="002D4B54"/>
    <w:pPr>
      <w:tabs>
        <w:tab w:val="center" w:pos="4513"/>
        <w:tab w:val="right" w:pos="9026"/>
      </w:tabs>
      <w:spacing w:after="0"/>
    </w:pPr>
  </w:style>
  <w:style w:type="character" w:styleId="HeaderChar" w:customStyle="1">
    <w:name w:val="Header Char"/>
    <w:basedOn w:val="DefaultParagraphFont"/>
    <w:link w:val="Header"/>
    <w:uiPriority w:val="99"/>
    <w:rsid w:val="002D4B54"/>
  </w:style>
  <w:style w:type="paragraph" w:styleId="Footer">
    <w:name w:val="footer"/>
    <w:basedOn w:val="Normal"/>
    <w:link w:val="FooterChar"/>
    <w:uiPriority w:val="99"/>
    <w:unhideWhenUsed w:val="1"/>
    <w:rsid w:val="00F03AC2"/>
    <w:pPr>
      <w:tabs>
        <w:tab w:val="center" w:pos="4513"/>
        <w:tab w:val="right" w:pos="9026"/>
      </w:tabs>
      <w:spacing w:after="0"/>
    </w:pPr>
    <w:rPr>
      <w:sz w:val="16"/>
      <w:szCs w:val="16"/>
    </w:rPr>
  </w:style>
  <w:style w:type="character" w:styleId="FooterChar" w:customStyle="1">
    <w:name w:val="Footer Char"/>
    <w:link w:val="Footer"/>
    <w:uiPriority w:val="99"/>
    <w:rsid w:val="00F03AC2"/>
    <w:rPr>
      <w:rFonts w:cs="Arial"/>
      <w:sz w:val="16"/>
      <w:szCs w:val="16"/>
    </w:rPr>
  </w:style>
  <w:style w:type="table" w:styleId="TableGrid">
    <w:name w:val="Table Grid"/>
    <w:basedOn w:val="TableNormal"/>
    <w:uiPriority w:val="59"/>
    <w:locked w:val="1"/>
    <w:rsid w:val="00A25B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2071F5"/>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AD7668"/>
    <w:pPr>
      <w:spacing w:after="720"/>
    </w:pPr>
    <w:rPr>
      <w:rFonts w:cs="Arial" w:eastAsia="Times New Roman"/>
      <w:b w:val="1"/>
      <w:bCs w:val="1"/>
      <w:color w:val="000000"/>
      <w:sz w:val="24"/>
      <w:szCs w:val="24"/>
      <w:lang w:eastAsia="en-US"/>
    </w:rPr>
  </w:style>
  <w:style w:type="paragraph" w:styleId="Bullets3" w:customStyle="1">
    <w:name w:val="Bullets 3"/>
    <w:qFormat w:val="1"/>
    <w:rsid w:val="00636744"/>
    <w:pPr>
      <w:numPr>
        <w:ilvl w:val="2"/>
        <w:numId w:val="3"/>
      </w:numPr>
      <w:spacing w:after="60" w:line="260" w:lineRule="atLeast"/>
      <w:ind w:left="681" w:hanging="227"/>
    </w:pPr>
    <w:rPr>
      <w:szCs w:val="19"/>
    </w:rPr>
  </w:style>
  <w:style w:type="paragraph" w:styleId="BodyText3ptAfter" w:customStyle="1">
    <w:name w:val="Body Text 3pt After"/>
    <w:basedOn w:val="BodyText"/>
    <w:qFormat w:val="1"/>
    <w:rsid w:val="00C25A43"/>
    <w:pPr>
      <w:spacing w:after="60"/>
    </w:pPr>
  </w:style>
  <w:style w:type="paragraph" w:styleId="BalloonText">
    <w:name w:val="Balloon Text"/>
    <w:basedOn w:val="Normal"/>
    <w:link w:val="BalloonTextChar"/>
    <w:uiPriority w:val="99"/>
    <w:semiHidden w:val="1"/>
    <w:unhideWhenUsed w:val="1"/>
    <w:rsid w:val="002A02CA"/>
    <w:pPr>
      <w:spacing w:after="0"/>
    </w:pPr>
    <w:rPr>
      <w:rFonts w:ascii="Tahoma" w:hAnsi="Tahoma"/>
      <w:sz w:val="16"/>
      <w:szCs w:val="16"/>
    </w:rPr>
  </w:style>
  <w:style w:type="character" w:styleId="BalloonTextChar" w:customStyle="1">
    <w:name w:val="Balloon Text Char"/>
    <w:link w:val="BalloonText"/>
    <w:uiPriority w:val="99"/>
    <w:semiHidden w:val="1"/>
    <w:rsid w:val="002A02CA"/>
    <w:rPr>
      <w:rFonts w:ascii="Tahoma" w:cs="Tahoma" w:hAnsi="Tahoma"/>
      <w:sz w:val="16"/>
      <w:szCs w:val="16"/>
    </w:rPr>
  </w:style>
  <w:style w:type="paragraph" w:styleId="SubHeading" w:customStyle="1">
    <w:name w:val="Sub Heading"/>
    <w:basedOn w:val="Normal"/>
    <w:rsid w:val="0096430E"/>
    <w:pPr>
      <w:spacing w:after="40" w:before="80" w:line="280" w:lineRule="atLeast"/>
    </w:pPr>
    <w:rPr>
      <w:rFonts w:cs="Tms Rmn" w:eastAsia="Times New Roman"/>
      <w:b w:val="1"/>
      <w:snapToGrid w:val="0"/>
      <w:sz w:val="22"/>
      <w:szCs w:val="22"/>
    </w:rPr>
  </w:style>
  <w:style w:type="character" w:styleId="Hyperlink">
    <w:name w:val="Hyperlink"/>
    <w:unhideWhenUsed w:val="1"/>
    <w:rsid w:val="00316F5E"/>
    <w:rPr>
      <w:color w:val="0000ff"/>
      <w:u w:val="single"/>
    </w:rPr>
  </w:style>
  <w:style w:type="paragraph" w:styleId="FootnoteText">
    <w:name w:val="footnote text"/>
    <w:basedOn w:val="Normal"/>
    <w:link w:val="FootnoteTextChar"/>
    <w:uiPriority w:val="99"/>
    <w:semiHidden w:val="1"/>
    <w:unhideWhenUsed w:val="1"/>
    <w:rsid w:val="00920DBA"/>
    <w:pPr>
      <w:spacing w:after="0"/>
    </w:pPr>
    <w:rPr>
      <w:rFonts w:eastAsia="Times New Roman"/>
      <w:snapToGrid w:val="0"/>
      <w:sz w:val="20"/>
      <w:szCs w:val="20"/>
    </w:rPr>
  </w:style>
  <w:style w:type="character" w:styleId="FootnoteTextChar" w:customStyle="1">
    <w:name w:val="Footnote Text Char"/>
    <w:link w:val="FootnoteText"/>
    <w:uiPriority w:val="99"/>
    <w:semiHidden w:val="1"/>
    <w:rsid w:val="00920DBA"/>
    <w:rPr>
      <w:rFonts w:cs="Times New Roman" w:eastAsia="Times New Roman"/>
      <w:snapToGrid w:val="0"/>
      <w:sz w:val="20"/>
      <w:szCs w:val="20"/>
    </w:rPr>
  </w:style>
  <w:style w:type="character" w:styleId="FootnoteReference">
    <w:name w:val="footnote reference"/>
    <w:uiPriority w:val="99"/>
    <w:semiHidden w:val="1"/>
    <w:unhideWhenUsed w:val="1"/>
    <w:rsid w:val="00920DBA"/>
    <w:rPr>
      <w:vertAlign w:val="superscript"/>
    </w:rPr>
  </w:style>
  <w:style w:type="paragraph" w:styleId="AttachmentNumberedHeading1" w:customStyle="1">
    <w:name w:val="Attachment Numbered Heading 1"/>
    <w:qFormat w:val="1"/>
    <w:rsid w:val="007969AD"/>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1B03C4"/>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883C68"/>
    <w:pPr>
      <w:numPr>
        <w:numId w:val="11"/>
      </w:numPr>
      <w:tabs>
        <w:tab w:val="left" w:pos="284"/>
      </w:tabs>
      <w:spacing w:after="40" w:before="40" w:line="260" w:lineRule="atLeast"/>
      <w:ind w:left="284" w:hanging="284"/>
    </w:pPr>
    <w:rPr>
      <w:rFonts w:cs="Tms Rmn" w:eastAsia="Times New Roman"/>
      <w:snapToGrid w:val="0"/>
      <w:sz w:val="20"/>
      <w:szCs w:val="20"/>
      <w:lang w:val="en-GB"/>
    </w:rPr>
  </w:style>
  <w:style w:type="paragraph" w:styleId="Tablecolumnhead" w:customStyle="1">
    <w:name w:val="Table column head"/>
    <w:basedOn w:val="Normal"/>
    <w:qFormat w:val="1"/>
    <w:rsid w:val="00883C68"/>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883C68"/>
    <w:pPr>
      <w:spacing w:after="40" w:before="40" w:line="260" w:lineRule="atLeast"/>
    </w:pPr>
    <w:rPr>
      <w:rFonts w:cs="Tms Rmn" w:eastAsia="Times New Roman"/>
      <w:snapToGrid w:val="0"/>
      <w:sz w:val="20"/>
      <w:szCs w:val="20"/>
      <w:lang w:val="en-GB"/>
    </w:rPr>
  </w:style>
  <w:style w:type="paragraph" w:styleId="Policylist1" w:customStyle="1">
    <w:name w:val="Policy list 1"/>
    <w:aliases w:val="2,3"/>
    <w:basedOn w:val="Normal"/>
    <w:qFormat w:val="1"/>
    <w:rsid w:val="00254DBE"/>
    <w:pPr>
      <w:numPr>
        <w:numId w:val="15"/>
      </w:numPr>
      <w:tabs>
        <w:tab w:val="left" w:pos="284"/>
      </w:tabs>
      <w:spacing w:after="60" w:line="260" w:lineRule="atLeast"/>
      <w:ind w:left="498" w:hanging="249"/>
    </w:pPr>
    <w:rPr>
      <w:rFonts w:cs="Tms Rmn" w:eastAsia="Times New Roman"/>
      <w:snapToGrid w:val="0"/>
      <w:sz w:val="20"/>
      <w:szCs w:val="20"/>
      <w:lang w:val="en-US"/>
    </w:rPr>
  </w:style>
  <w:style w:type="paragraph" w:styleId="BodyText85ptBefore" w:customStyle="1">
    <w:name w:val="Body Text 8.5pt Before"/>
    <w:basedOn w:val="BodyText3ptAfter"/>
    <w:qFormat w:val="1"/>
    <w:rsid w:val="007969AD"/>
    <w:pPr>
      <w:spacing w:before="170"/>
    </w:pPr>
  </w:style>
  <w:style w:type="character" w:styleId="FollowedHyperlink">
    <w:name w:val="FollowedHyperlink"/>
    <w:basedOn w:val="DefaultParagraphFont"/>
    <w:uiPriority w:val="99"/>
    <w:semiHidden w:val="1"/>
    <w:unhideWhenUsed w:val="1"/>
    <w:rsid w:val="00A80CF2"/>
    <w:rPr>
      <w:color w:val="800080" w:themeColor="followedHyperlink"/>
      <w:u w:val="single"/>
    </w:rPr>
  </w:style>
  <w:style w:type="character" w:styleId="CommentReference">
    <w:name w:val="annotation reference"/>
    <w:basedOn w:val="DefaultParagraphFont"/>
    <w:uiPriority w:val="99"/>
    <w:semiHidden w:val="1"/>
    <w:unhideWhenUsed w:val="1"/>
    <w:rsid w:val="00160612"/>
    <w:rPr>
      <w:sz w:val="16"/>
      <w:szCs w:val="16"/>
    </w:rPr>
  </w:style>
  <w:style w:type="paragraph" w:styleId="CommentText">
    <w:name w:val="annotation text"/>
    <w:basedOn w:val="Normal"/>
    <w:link w:val="CommentTextChar"/>
    <w:uiPriority w:val="99"/>
    <w:semiHidden w:val="1"/>
    <w:unhideWhenUsed w:val="1"/>
    <w:rsid w:val="00160612"/>
    <w:rPr>
      <w:sz w:val="20"/>
      <w:szCs w:val="20"/>
    </w:rPr>
  </w:style>
  <w:style w:type="character" w:styleId="CommentTextChar" w:customStyle="1">
    <w:name w:val="Comment Text Char"/>
    <w:basedOn w:val="DefaultParagraphFont"/>
    <w:link w:val="CommentText"/>
    <w:uiPriority w:val="99"/>
    <w:semiHidden w:val="1"/>
    <w:rsid w:val="00160612"/>
    <w:rPr>
      <w:lang w:eastAsia="en-US"/>
    </w:rPr>
  </w:style>
  <w:style w:type="paragraph" w:styleId="CommentSubject">
    <w:name w:val="annotation subject"/>
    <w:basedOn w:val="CommentText"/>
    <w:next w:val="CommentText"/>
    <w:link w:val="CommentSubjectChar"/>
    <w:uiPriority w:val="99"/>
    <w:semiHidden w:val="1"/>
    <w:unhideWhenUsed w:val="1"/>
    <w:rsid w:val="00160612"/>
    <w:rPr>
      <w:b w:val="1"/>
      <w:bCs w:val="1"/>
    </w:rPr>
  </w:style>
  <w:style w:type="character" w:styleId="CommentSubjectChar" w:customStyle="1">
    <w:name w:val="Comment Subject Char"/>
    <w:basedOn w:val="CommentTextChar"/>
    <w:link w:val="CommentSubject"/>
    <w:uiPriority w:val="99"/>
    <w:semiHidden w:val="1"/>
    <w:rsid w:val="00160612"/>
    <w:rPr>
      <w:b w:val="1"/>
      <w:bCs w:val="1"/>
      <w:lang w:eastAsia="en-US"/>
    </w:rPr>
  </w:style>
  <w:style w:type="paragraph" w:styleId="ListParagraph">
    <w:name w:val="List Paragraph"/>
    <w:basedOn w:val="Normal"/>
    <w:uiPriority w:val="34"/>
    <w:qFormat w:val="1"/>
    <w:rsid w:val="00FD1917"/>
    <w:pPr>
      <w:spacing w:after="200" w:line="276" w:lineRule="auto"/>
      <w:ind w:left="720"/>
      <w:contextualSpacing w:val="1"/>
    </w:pPr>
    <w:rPr>
      <w:rFonts w:ascii="Corbel" w:hAnsi="Corbel" w:cstheme="minorBidi" w:eastAsiaTheme="minorHAnsi"/>
      <w:sz w:val="22"/>
      <w:szCs w:val="22"/>
    </w:rPr>
  </w:style>
  <w:style w:type="paragraph" w:styleId="EndnoteText">
    <w:name w:val="endnote text"/>
    <w:basedOn w:val="Normal"/>
    <w:link w:val="EndnoteTextChar"/>
    <w:uiPriority w:val="99"/>
    <w:semiHidden w:val="1"/>
    <w:unhideWhenUsed w:val="1"/>
    <w:rsid w:val="006C0AA3"/>
    <w:pPr>
      <w:spacing w:after="0"/>
    </w:pPr>
    <w:rPr>
      <w:sz w:val="20"/>
      <w:szCs w:val="20"/>
    </w:rPr>
  </w:style>
  <w:style w:type="character" w:styleId="EndnoteTextChar" w:customStyle="1">
    <w:name w:val="Endnote Text Char"/>
    <w:basedOn w:val="DefaultParagraphFont"/>
    <w:link w:val="EndnoteText"/>
    <w:uiPriority w:val="99"/>
    <w:semiHidden w:val="1"/>
    <w:rsid w:val="006C0AA3"/>
    <w:rPr>
      <w:lang w:eastAsia="en-US"/>
    </w:rPr>
  </w:style>
  <w:style w:type="character" w:styleId="EndnoteReference">
    <w:name w:val="endnote reference"/>
    <w:basedOn w:val="DefaultParagraphFont"/>
    <w:uiPriority w:val="99"/>
    <w:semiHidden w:val="1"/>
    <w:unhideWhenUsed w:val="1"/>
    <w:rsid w:val="006C0AA3"/>
    <w:rPr>
      <w:vertAlign w:val="superscript"/>
    </w:rPr>
  </w:style>
  <w:style w:type="paragraph" w:styleId="HTVbullet1" w:customStyle="1">
    <w:name w:val="HTV bullet 1"/>
    <w:basedOn w:val="Normal"/>
    <w:qFormat w:val="1"/>
    <w:rsid w:val="006B22DF"/>
    <w:pPr>
      <w:numPr>
        <w:numId w:val="19"/>
      </w:numPr>
      <w:spacing w:after="40" w:line="270" w:lineRule="atLeast"/>
    </w:pPr>
    <w:rPr>
      <w:rFonts w:eastAsia="MS Mincho"/>
      <w:szCs w:val="24"/>
    </w:rPr>
  </w:style>
  <w:style w:type="paragraph" w:styleId="HTVbullet2" w:customStyle="1">
    <w:name w:val="HTV bullet 2"/>
    <w:basedOn w:val="HTVbullet1"/>
    <w:qFormat w:val="1"/>
    <w:rsid w:val="0076590D"/>
    <w:pPr>
      <w:numPr>
        <w:numId w:val="0"/>
      </w:numPr>
      <w:ind w:left="340" w:hanging="170"/>
    </w:pPr>
  </w:style>
  <w:style w:type="paragraph" w:styleId="HTVbullet2lastline" w:customStyle="1">
    <w:name w:val="HTV bullet 2 last line"/>
    <w:basedOn w:val="HTVbullet2"/>
    <w:qFormat w:val="1"/>
    <w:rsid w:val="0076590D"/>
    <w:pPr>
      <w:spacing w:after="120"/>
    </w:pPr>
  </w:style>
  <w:style w:type="paragraph" w:styleId="DHHSmainheading" w:customStyle="1">
    <w:name w:val="DHHS main heading"/>
    <w:uiPriority w:val="8"/>
    <w:rsid w:val="00FF4AFA"/>
    <w:pPr>
      <w:spacing w:line="560" w:lineRule="atLeast"/>
    </w:pPr>
    <w:rPr>
      <w:rFonts w:eastAsia="Times New Roman"/>
      <w:color w:val="ffffff"/>
      <w:sz w:val="50"/>
      <w:szCs w:val="50"/>
      <w:lang w:eastAsia="en-US"/>
    </w:rPr>
  </w:style>
  <w:style w:type="paragraph" w:styleId="HTVbody" w:customStyle="1">
    <w:name w:val="HTV body"/>
    <w:rsid w:val="00FF4AFA"/>
    <w:pPr>
      <w:spacing w:after="120" w:line="270" w:lineRule="atLeast"/>
    </w:pPr>
    <w:rPr>
      <w:rFonts w:eastAsia="MS Mincho"/>
      <w:sz w:val="19"/>
      <w:szCs w:val="24"/>
      <w:lang w:eastAsia="en-US"/>
    </w:rPr>
  </w:style>
  <w:style w:type="paragraph" w:styleId="PBbody" w:customStyle="1">
    <w:name w:val="PB body"/>
    <w:rsid w:val="00FF4AFA"/>
    <w:pPr>
      <w:spacing w:after="120" w:line="270" w:lineRule="atLeast"/>
    </w:pPr>
    <w:rPr>
      <w:rFonts w:eastAsia="MS Mincho"/>
      <w:sz w:val="24"/>
      <w:szCs w:val="24"/>
      <w:lang w:eastAsia="en-US"/>
    </w:rPr>
  </w:style>
  <w:style w:type="character" w:styleId="UnresolvedMention" w:customStyle="1">
    <w:name w:val="Unresolved Mention"/>
    <w:basedOn w:val="DefaultParagraphFont"/>
    <w:uiPriority w:val="99"/>
    <w:semiHidden w:val="1"/>
    <w:unhideWhenUsed w:val="1"/>
    <w:rsid w:val="006D3F7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ducation.vic.gov.au/Pages/default.aspx"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etterhealth.vic.gov.au"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atforhealth.gov.au/guidelines" TargetMode="External"/><Relationship Id="rId8" Type="http://schemas.openxmlformats.org/officeDocument/2006/relationships/hyperlink" Target="https://docs.education.gov.au/documents/belonging-being-becoming-early-years-learning-framework-australia" TargetMode="External"/><Relationship Id="rId11" Type="http://schemas.openxmlformats.org/officeDocument/2006/relationships/hyperlink" Target="https://www2.health.vic.gov.au/public-health/food-safety" TargetMode="External"/><Relationship Id="rId10" Type="http://schemas.openxmlformats.org/officeDocument/2006/relationships/hyperlink" Target="http://www.dhsv.org.au" TargetMode="External"/><Relationship Id="rId13" Type="http://schemas.openxmlformats.org/officeDocument/2006/relationships/hyperlink" Target="https://www.health.gov.au/internet/main/publishing.nsf/Content/phd-gug-staffcarers" TargetMode="External"/><Relationship Id="rId12" Type="http://schemas.openxmlformats.org/officeDocument/2006/relationships/hyperlink" Target="http://www.foodstandards.gov.au" TargetMode="External"/><Relationship Id="rId15" Type="http://schemas.openxmlformats.org/officeDocument/2006/relationships/hyperlink" Target="http://heas.health.vic.gov.au/" TargetMode="External"/><Relationship Id="rId14" Type="http://schemas.openxmlformats.org/officeDocument/2006/relationships/hyperlink" Target="http://www.achievementprogram.health.vic.gov.au" TargetMode="External"/><Relationship Id="rId17" Type="http://schemas.openxmlformats.org/officeDocument/2006/relationships/hyperlink" Target="https://www.health.gov.au/internet/main/publishing.nsf/Content/npra-0-5yrs-brochure" TargetMode="External"/><Relationship Id="rId16" Type="http://schemas.openxmlformats.org/officeDocument/2006/relationships/hyperlink" Target="https://www.nhmrc.gov.au/about-us/publications/infant-feeding-guidelines-information-health-workers" TargetMode="External"/><Relationship Id="rId19" Type="http://schemas.openxmlformats.org/officeDocument/2006/relationships/hyperlink" Target="https://www.nhmrc.gov.au/about-us/publications/staying-healthy-preventing-infectious-diseases-early-childhood-education-and-care-services" TargetMode="External"/><Relationship Id="rId18" Type="http://schemas.openxmlformats.org/officeDocument/2006/relationships/hyperlink" Target="https://www1.health.gov.au/internet/main/publishing.nsf/Content/health-pubhlth-strateg-phys-act-guidelines#npa186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GpQuuxtp8PrTbCVmaL0OzO0ddQ==">CgMxLjAyCGguZ2pkZ3hzOABqJgoTc3VnZ2VzdC5ydTUwb3lieW05dBIPS2VsbHlhbm4gV2lsc29uciExZk8tV0pFT05oSVlJanpjZjZKd3NlV0pISXZpbnk5UDY=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2021-02-20T20:39:00Z</dcterms:created>
  <dc:creator>ELAALaptop3</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mpany">
    <vt:lpwstr>Company</vt:lpwstr>
  </property>
  <property fmtid="{D5CDD505-2E9C-101B-9397-08002B2CF9AE}" pid="4" name="xPolicyName">
    <vt:lpwstr>Policy name</vt:lpwstr>
  </property>
</Properties>
</file>